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0432FF"/>
          <w:lang w:val="en-US" w:eastAsia="zh-CN"/>
        </w:rPr>
      </w:pPr>
    </w:p>
    <w:p w14:paraId="41FF5FF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0432FF"/>
          <w:lang w:val="en-US" w:eastAsia="zh-CN"/>
        </w:rPr>
      </w:pPr>
    </w:p>
    <w:p w14:paraId="16BFEC0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长大隧道钻爆法施工通风及粉尘扩散研究</w:t>
      </w:r>
    </w:p>
    <w:p w14:paraId="0C2EF53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color w:val="0432FF"/>
          <w:kern w:val="0"/>
          <w:sz w:val="21"/>
          <w:szCs w:val="21"/>
        </w:rPr>
      </w:pPr>
      <w:bookmarkStart w:id="0" w:name="heading_0"/>
    </w:p>
    <w:p w14:paraId="12F2FCA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摘要</w:t>
      </w:r>
      <w:bookmarkEnd w:id="0"/>
      <w:r>
        <w:rPr>
          <w:rFonts w:ascii="宋体" w:eastAsia="宋体" w:hAnsi="宋体" w:cs="宋体" w:hint="eastAsia"/>
          <w:b w:val="0"/>
          <w:bCs/>
          <w:color w:val="0432FF"/>
          <w:kern w:val="0"/>
          <w:sz w:val="21"/>
          <w:szCs w:val="21"/>
          <w:lang w:eastAsia="zh-CN"/>
        </w:rPr>
        <w:t>：</w:t>
      </w:r>
      <w:r>
        <w:rPr>
          <w:rFonts w:ascii="宋体" w:eastAsia="宋体" w:hAnsi="宋体" w:cs="宋体" w:hint="eastAsia"/>
          <w:b w:val="0"/>
          <w:bCs/>
          <w:color w:val="0432FF"/>
          <w:kern w:val="0"/>
          <w:sz w:val="21"/>
          <w:szCs w:val="21"/>
        </w:rPr>
        <w:t>长大隧道钻爆法长距离独头掘进洞内密闭粉尘、炮烟治理难。以最大单个隧道3200m铁路特长隧道为对象进行通风系统计算优化及现场粉尘检测，采用漏风修正法计算压入式通风设备参数。实测爆破粉尘峰值提前衰减的规律被找到，风速、颗粒粒径对粉尘运移沉降有怎样的作用机理进行了分析，得到排尘风速0.30m/s是本工况最优排尘风速。建立从源头到过程的防尘体系，量度防尘效果。经过测算可知，常态化作业工序全尘降尘率可</w:t>
      </w:r>
      <w:r>
        <w:rPr>
          <w:rFonts w:ascii="宋体" w:eastAsia="宋体" w:hAnsi="宋体" w:cs="宋体" w:hint="eastAsia"/>
          <w:b w:val="0"/>
          <w:bCs/>
          <w:color w:val="0432FF"/>
          <w:kern w:val="0"/>
          <w:sz w:val="21"/>
          <w:szCs w:val="21"/>
          <w:lang w:eastAsia="zh-CN"/>
        </w:rPr>
        <w:t>达到87.4%～92.</w:t>
      </w:r>
      <w:r>
        <w:rPr>
          <w:rFonts w:ascii="宋体" w:eastAsia="宋体" w:hAnsi="宋体" w:cs="宋体" w:hint="eastAsia"/>
          <w:b w:val="0"/>
          <w:bCs/>
          <w:color w:val="0432FF"/>
          <w:kern w:val="0"/>
          <w:sz w:val="21"/>
          <w:szCs w:val="21"/>
        </w:rPr>
        <w:t>7%，呼吸性粉尘符合职业卫生限值，可为长距离隧道通风防尘提供现场测试依据。</w:t>
      </w:r>
    </w:p>
    <w:p w14:paraId="69564FE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关键词：长大隧道；钻爆法；独头掘进；通风设计；粉尘扩散</w:t>
      </w:r>
    </w:p>
    <w:p w14:paraId="26FC10C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color w:val="0432FF"/>
          <w:kern w:val="0"/>
          <w:sz w:val="21"/>
          <w:szCs w:val="21"/>
        </w:rPr>
      </w:pPr>
      <w:bookmarkStart w:id="1" w:name="heading_1"/>
      <w:r>
        <w:rPr>
          <w:rFonts w:ascii="宋体" w:eastAsia="宋体" w:hAnsi="宋体" w:cs="宋体" w:hint="eastAsia"/>
          <w:b w:val="0"/>
          <w:bCs/>
          <w:color w:val="0432FF"/>
          <w:kern w:val="0"/>
          <w:sz w:val="21"/>
          <w:szCs w:val="21"/>
          <w:lang w:val="en-US" w:eastAsia="zh-CN"/>
        </w:rPr>
        <w:t>1</w:t>
      </w:r>
      <w:r>
        <w:rPr>
          <w:rFonts w:ascii="宋体" w:eastAsia="宋体" w:hAnsi="宋体" w:cs="宋体" w:hint="eastAsia"/>
          <w:b w:val="0"/>
          <w:bCs/>
          <w:color w:val="0432FF"/>
          <w:kern w:val="0"/>
          <w:sz w:val="21"/>
          <w:szCs w:val="21"/>
        </w:rPr>
        <w:t>引言</w:t>
      </w:r>
      <w:bookmarkEnd w:id="1"/>
    </w:p>
    <w:p w14:paraId="66E304C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color w:val="0432FF"/>
          <w:kern w:val="0"/>
          <w:sz w:val="21"/>
          <w:szCs w:val="21"/>
          <w:lang w:val="en-US" w:eastAsia="zh-CN"/>
        </w:rPr>
      </w:pPr>
      <w:bookmarkStart w:id="2" w:name="heading_2"/>
      <w:r>
        <w:rPr>
          <w:rFonts w:ascii="宋体" w:eastAsia="宋体" w:hAnsi="宋体" w:cs="宋体" w:hint="eastAsia"/>
          <w:b w:val="0"/>
          <w:bCs/>
          <w:color w:val="0432FF"/>
          <w:kern w:val="0"/>
          <w:sz w:val="21"/>
          <w:szCs w:val="21"/>
          <w:lang w:val="en-US" w:eastAsia="zh-CN"/>
        </w:rPr>
        <w:t>我国山区铁路建设不断发展，越来越多的长大特长隧道被建设起来，由于钻爆法有较好的地质适应性，所以仍然被用作复杂围岩隧道的主要开挖方法。凿岩、爆破、出渣、喷锚支护等工序都会产生大量的岩尘，在大里程独头掘进的情况下，洞内的自然通风被完全切断，粉尘很容易堆积起来。含游离二氧化硅的岩尘可以提高作业人员尘肺病的发病率，高浓度粉尘会使洞内能见度降低，对洞内运输作业造成安全隐患，隧道通风和粉尘控制同时具有职业健康防护以及施工安全的意义。</w:t>
      </w:r>
    </w:p>
    <w:p w14:paraId="0B2E1174">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default"/>
          <w:b w:val="0"/>
          <w:bCs/>
          <w:color w:val="0432FF"/>
          <w:kern w:val="0"/>
          <w:sz w:val="21"/>
          <w:szCs w:val="21"/>
          <w:lang w:val="en-US" w:eastAsia="zh-CN"/>
        </w:rPr>
      </w:pPr>
      <w:r>
        <w:rPr>
          <w:rFonts w:ascii="宋体" w:eastAsia="宋体" w:hAnsi="宋体" w:cs="宋体" w:hint="eastAsia"/>
          <w:b w:val="0"/>
          <w:bCs/>
          <w:color w:val="0432FF"/>
          <w:kern w:val="0"/>
          <w:sz w:val="21"/>
          <w:szCs w:val="21"/>
          <w:lang w:val="en-US" w:eastAsia="zh-CN"/>
        </w:rPr>
        <w:t>现有的研究对于中短距离隧道通风、粉尘迁移、单项防尘工艺等成果较多，但是对于3000m级超长独头掘进现场的实测案例较少。长距离风管漏风会改变掌子面风流场，爆破粉尘演化规律不一样于短隧道，多防尘措施耦合的定性分析还缺少。以实际隧道工程为基础，对通风计算和现场监测试验进行通风计算和现场监测试验，研究粉尘扩散规律，建立协同防尘体系，完成效果评价，给类似工程提供借鉴。</w:t>
      </w:r>
    </w:p>
    <w:p w14:paraId="145A299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2</w:t>
      </w:r>
      <w:r>
        <w:rPr>
          <w:rFonts w:ascii="宋体" w:eastAsia="宋体" w:hAnsi="宋体" w:cs="宋体" w:hint="eastAsia"/>
          <w:b w:val="0"/>
          <w:bCs/>
          <w:color w:val="0432FF"/>
          <w:kern w:val="0"/>
          <w:sz w:val="21"/>
          <w:szCs w:val="21"/>
          <w:lang w:eastAsia="zh-CN"/>
        </w:rPr>
        <w:t>、</w:t>
      </w:r>
      <w:r>
        <w:rPr>
          <w:rFonts w:ascii="宋体" w:eastAsia="宋体" w:hAnsi="宋体" w:cs="宋体" w:hint="eastAsia"/>
          <w:b w:val="0"/>
          <w:bCs/>
          <w:color w:val="0432FF"/>
          <w:kern w:val="0"/>
          <w:sz w:val="21"/>
          <w:szCs w:val="21"/>
        </w:rPr>
        <w:t>工程条件与现场测试方案</w:t>
      </w:r>
      <w:bookmarkEnd w:id="2"/>
    </w:p>
    <w:p w14:paraId="1B09FC5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1"/>
        <w:rPr>
          <w:rFonts w:ascii="宋体" w:eastAsia="宋体" w:hAnsi="宋体" w:cs="宋体" w:hint="eastAsia"/>
          <w:b w:val="0"/>
          <w:bCs/>
          <w:color w:val="0432FF"/>
          <w:kern w:val="0"/>
          <w:sz w:val="21"/>
          <w:szCs w:val="21"/>
        </w:rPr>
      </w:pPr>
      <w:bookmarkStart w:id="3" w:name="heading_3"/>
      <w:r>
        <w:rPr>
          <w:rFonts w:ascii="宋体" w:eastAsia="宋体" w:hAnsi="宋体" w:cs="宋体" w:hint="eastAsia"/>
          <w:b w:val="0"/>
          <w:bCs/>
          <w:color w:val="0432FF"/>
          <w:kern w:val="0"/>
          <w:sz w:val="21"/>
          <w:szCs w:val="21"/>
        </w:rPr>
        <w:t>2.1隧道工程概况</w:t>
      </w:r>
      <w:bookmarkEnd w:id="3"/>
    </w:p>
    <w:p w14:paraId="0352026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研究对象</w:t>
      </w:r>
      <w:r>
        <w:rPr>
          <w:rFonts w:ascii="宋体" w:eastAsia="宋体" w:hAnsi="宋体" w:cs="宋体" w:hint="eastAsia"/>
          <w:b w:val="0"/>
          <w:bCs/>
          <w:color w:val="0432FF"/>
          <w:kern w:val="0"/>
          <w:sz w:val="21"/>
          <w:szCs w:val="21"/>
        </w:rPr>
        <w:t>单线特长铁路隧道总长为11268m，洞口围岩为Ⅳ级砂质泥岩夹砂岩，岩样中游离SiO2含量平均为8.7%。由于辅助坑道滞后，进口工区最大的独头掘进长度达到3200m。全断面钻爆开挖一个循环进尺3.5米，一次爆破药量为285kg。洞内各种工序平行交叉作业高峰期作业人员62人，产尘源与时间的空间叠加，造成长距离通风排尘是制约施工组织的技</w:t>
      </w:r>
      <w:r>
        <w:rPr>
          <w:rFonts w:ascii="宋体" w:eastAsia="宋体" w:hAnsi="宋体" w:cs="宋体" w:hint="eastAsia"/>
          <w:b w:val="0"/>
          <w:bCs/>
          <w:color w:val="0432FF"/>
          <w:kern w:val="0"/>
          <w:sz w:val="21"/>
          <w:szCs w:val="21"/>
          <w:lang w:eastAsia="zh-CN"/>
        </w:rPr>
        <w:t>术</w:t>
      </w:r>
      <w:r>
        <w:rPr>
          <w:rFonts w:ascii="宋体" w:eastAsia="宋体" w:hAnsi="宋体" w:cs="宋体" w:hint="eastAsia"/>
          <w:b w:val="0"/>
          <w:bCs/>
          <w:color w:val="0432FF"/>
          <w:kern w:val="0"/>
          <w:sz w:val="21"/>
          <w:szCs w:val="21"/>
          <w:lang w:val="en-US" w:eastAsia="zh-CN"/>
        </w:rPr>
        <w:t>难题。</w:t>
      </w:r>
    </w:p>
    <w:p w14:paraId="69C3043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color w:val="0432FF"/>
          <w:kern w:val="0"/>
          <w:sz w:val="21"/>
          <w:szCs w:val="21"/>
        </w:rPr>
      </w:pPr>
      <w:bookmarkStart w:id="4" w:name="heading_5"/>
      <w:r>
        <w:rPr>
          <w:rFonts w:ascii="宋体" w:eastAsia="宋体" w:hAnsi="宋体" w:cs="宋体" w:hint="eastAsia"/>
          <w:b w:val="0"/>
          <w:bCs/>
          <w:color w:val="0432FF"/>
          <w:kern w:val="0"/>
          <w:sz w:val="21"/>
          <w:szCs w:val="21"/>
        </w:rPr>
        <w:t>3</w:t>
      </w:r>
      <w:r>
        <w:rPr>
          <w:rFonts w:ascii="宋体" w:eastAsia="宋体" w:hAnsi="宋体" w:cs="宋体" w:hint="eastAsia"/>
          <w:b w:val="0"/>
          <w:bCs/>
          <w:color w:val="0432FF"/>
          <w:kern w:val="0"/>
          <w:sz w:val="21"/>
          <w:szCs w:val="21"/>
          <w:lang w:eastAsia="zh-CN"/>
        </w:rPr>
        <w:t>、</w:t>
      </w:r>
      <w:r>
        <w:rPr>
          <w:rFonts w:ascii="宋体" w:eastAsia="宋体" w:hAnsi="宋体" w:cs="宋体" w:hint="eastAsia"/>
          <w:b w:val="0"/>
          <w:bCs/>
          <w:color w:val="0432FF"/>
          <w:kern w:val="0"/>
          <w:sz w:val="21"/>
          <w:szCs w:val="21"/>
        </w:rPr>
        <w:t>长大隧道独头掘进压入式通风系统设计</w:t>
      </w:r>
      <w:bookmarkEnd w:id="4"/>
    </w:p>
    <w:p w14:paraId="2296696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1"/>
        <w:rPr>
          <w:rFonts w:ascii="宋体" w:eastAsia="宋体" w:hAnsi="宋体" w:cs="宋体" w:hint="eastAsia"/>
          <w:b w:val="0"/>
          <w:bCs/>
          <w:color w:val="0432FF"/>
          <w:kern w:val="0"/>
          <w:sz w:val="21"/>
          <w:szCs w:val="21"/>
        </w:rPr>
      </w:pPr>
      <w:bookmarkStart w:id="5" w:name="heading_6"/>
      <w:r>
        <w:rPr>
          <w:rFonts w:ascii="宋体" w:eastAsia="宋体" w:hAnsi="宋体" w:cs="宋体" w:hint="eastAsia"/>
          <w:b w:val="0"/>
          <w:bCs/>
          <w:color w:val="0432FF"/>
          <w:kern w:val="0"/>
          <w:sz w:val="21"/>
          <w:szCs w:val="21"/>
        </w:rPr>
        <w:t>3.1通风方式比选</w:t>
      </w:r>
      <w:bookmarkEnd w:id="5"/>
    </w:p>
    <w:p w14:paraId="1156B56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根据3200m超长独头掘进工况选择通风方式会直接影响掌子面新风供给的可靠性。抽出式通风负压管路随着掘进距离的增加，漏风损失不断累积，沿程压降增大之后，掌子面就会出现滞风区，炮烟粉尘稀释时间无法达到30min一次进班的要求。混合式通风要设置正压、负压两套管路，洞内各工序交叉施工时管路容易与施工机械产生干涉，管路的运维管理负担随着掘进深度的增加而增大。压入式通风用正压风管把新风直接送入掌子面，污风沿隧道全断面回流排出，系统结构简单，在长距离工况下运行较稳定。综合比较各种通风方式适用的边界，本工程使用压入式通风</w:t>
      </w:r>
      <w:r>
        <w:rPr>
          <w:rFonts w:ascii="宋体" w:eastAsia="宋体" w:hAnsi="宋体" w:cs="宋体" w:hint="eastAsia"/>
          <w:b w:val="0"/>
          <w:bCs/>
          <w:color w:val="0432FF"/>
          <w:kern w:val="0"/>
          <w:sz w:val="21"/>
          <w:szCs w:val="21"/>
          <w:vertAlign w:val="superscript"/>
        </w:rPr>
        <w:t>[</w:t>
      </w:r>
      <w:r>
        <w:rPr>
          <w:rFonts w:ascii="宋体" w:eastAsia="宋体" w:hAnsi="宋体" w:cs="宋体" w:hint="eastAsia"/>
          <w:b w:val="0"/>
          <w:bCs/>
          <w:color w:val="0432FF"/>
          <w:kern w:val="0"/>
          <w:sz w:val="21"/>
          <w:szCs w:val="21"/>
          <w:vertAlign w:val="superscript"/>
          <w:lang w:val="en-US" w:eastAsia="zh-CN"/>
        </w:rPr>
        <w:t>2</w:t>
      </w:r>
      <w:r>
        <w:rPr>
          <w:rFonts w:ascii="宋体" w:eastAsia="宋体" w:hAnsi="宋体" w:cs="宋体" w:hint="eastAsia"/>
          <w:b w:val="0"/>
          <w:bCs/>
          <w:color w:val="0432FF"/>
          <w:kern w:val="0"/>
          <w:sz w:val="21"/>
          <w:szCs w:val="21"/>
          <w:vertAlign w:val="superscript"/>
        </w:rPr>
        <w:t>]</w:t>
      </w:r>
      <w:r>
        <w:rPr>
          <w:rFonts w:ascii="宋体" w:eastAsia="宋体" w:hAnsi="宋体" w:cs="宋体" w:hint="eastAsia"/>
          <w:b w:val="0"/>
          <w:bCs/>
          <w:color w:val="0432FF"/>
          <w:kern w:val="0"/>
          <w:sz w:val="21"/>
          <w:szCs w:val="21"/>
        </w:rPr>
        <w:t>。</w:t>
      </w:r>
    </w:p>
    <w:p w14:paraId="09D29EB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1"/>
        <w:rPr>
          <w:rFonts w:ascii="宋体" w:eastAsia="宋体" w:hAnsi="宋体" w:cs="宋体" w:hint="eastAsia"/>
          <w:b w:val="0"/>
          <w:bCs/>
          <w:color w:val="0432FF"/>
          <w:kern w:val="0"/>
          <w:sz w:val="21"/>
          <w:szCs w:val="21"/>
        </w:rPr>
      </w:pPr>
      <w:bookmarkStart w:id="6" w:name="heading_11"/>
      <w:r>
        <w:rPr>
          <w:rFonts w:ascii="宋体" w:eastAsia="宋体" w:hAnsi="宋体" w:cs="宋体" w:hint="eastAsia"/>
          <w:b w:val="0"/>
          <w:bCs/>
          <w:color w:val="0432FF"/>
          <w:kern w:val="0"/>
          <w:sz w:val="21"/>
          <w:szCs w:val="21"/>
        </w:rPr>
        <w:t>4.2洞内风速对排尘效率的影响</w:t>
      </w:r>
      <w:bookmarkEnd w:id="6"/>
    </w:p>
    <w:p w14:paraId="62967DB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color w:val="0432FF"/>
          <w:kern w:val="0"/>
          <w:sz w:val="21"/>
          <w:szCs w:val="21"/>
          <w:highlight w:val="yellow"/>
        </w:rPr>
      </w:pPr>
      <w:r>
        <w:rPr>
          <w:rFonts w:ascii="宋体" w:eastAsia="宋体" w:hAnsi="宋体" w:cs="宋体" w:hint="eastAsia"/>
          <w:b w:val="0"/>
          <w:bCs/>
          <w:color w:val="0432FF"/>
          <w:kern w:val="0"/>
          <w:sz w:val="21"/>
          <w:szCs w:val="21"/>
        </w:rPr>
        <w:t>断面风速是控制粉尘消散的主要流动参数，但是排尘效率不是随</w:t>
      </w:r>
      <w:bookmarkStart w:id="7" w:name="_GoBack"/>
      <w:bookmarkEnd w:id="7"/>
      <w:r>
        <w:rPr>
          <w:rFonts w:ascii="宋体" w:eastAsia="宋体" w:hAnsi="宋体" w:cs="宋体" w:hint="eastAsia"/>
          <w:b w:val="0"/>
          <w:bCs/>
          <w:color w:val="0432FF"/>
          <w:kern w:val="0"/>
          <w:sz w:val="21"/>
          <w:szCs w:val="21"/>
        </w:rPr>
        <w:t>着风速单调上升的，存在客观的最优范围，原因是稀释增益和二次扬尘损耗之间存在动态的权衡</w:t>
      </w:r>
      <w:r>
        <w:rPr>
          <w:rFonts w:ascii="宋体" w:eastAsia="宋体" w:hAnsi="宋体" w:cs="宋体" w:hint="eastAsia"/>
          <w:b w:val="0"/>
          <w:bCs/>
          <w:color w:val="0432FF"/>
          <w:kern w:val="0"/>
          <w:sz w:val="21"/>
          <w:szCs w:val="21"/>
          <w:vertAlign w:val="superscript"/>
        </w:rPr>
        <w:t>[</w:t>
      </w:r>
      <w:r>
        <w:rPr>
          <w:rFonts w:ascii="宋体" w:eastAsia="宋体" w:hAnsi="宋体" w:cs="宋体" w:hint="eastAsia"/>
          <w:b w:val="0"/>
          <w:bCs/>
          <w:color w:val="0432FF"/>
          <w:kern w:val="0"/>
          <w:sz w:val="21"/>
          <w:szCs w:val="21"/>
          <w:vertAlign w:val="superscript"/>
          <w:lang w:val="en-US" w:eastAsia="zh-CN"/>
        </w:rPr>
        <w:t>4</w:t>
      </w:r>
      <w:r>
        <w:rPr>
          <w:rFonts w:ascii="宋体" w:eastAsia="宋体" w:hAnsi="宋体" w:cs="宋体" w:hint="eastAsia"/>
          <w:b w:val="0"/>
          <w:bCs/>
          <w:color w:val="0432FF"/>
          <w:kern w:val="0"/>
          <w:sz w:val="21"/>
          <w:szCs w:val="21"/>
          <w:vertAlign w:val="superscript"/>
        </w:rPr>
        <w:t>]</w:t>
      </w:r>
      <w:r>
        <w:rPr>
          <w:rFonts w:ascii="宋体" w:eastAsia="宋体" w:hAnsi="宋体" w:cs="宋体" w:hint="eastAsia"/>
          <w:b w:val="0"/>
          <w:bCs/>
          <w:color w:val="0432FF"/>
          <w:kern w:val="0"/>
          <w:sz w:val="21"/>
          <w:szCs w:val="21"/>
        </w:rPr>
        <w:t>。从实测结果可知，当风速由0.15m/s增大到0.30m/s的时候，出渣工序全尘在42分钟内从10mg/m³降到26分钟以内，出渣工序全尘在42分钟内从10mg/m³降到26分钟以内，风速增大使得气流更加湍流，新鲜风流和悬浮粉尘得到更好的混合。当风速大于0.45m/s时，壁面和渣堆表面的沉积粗颗粒的气流剪切力大于起动临界值，二次扬尘又不断补充颗粒组分，使稀释效果被抵消，浓度下降速度变慢。因此单方面增大风机功率不能使除尘效果一直得到改善，本工程排尘最优风速为0.30m/s，运行管理要以断面风速控制为主。</w:t>
      </w:r>
      <w:r>
        <w:rPr>
          <w:rFonts w:ascii="宋体" w:eastAsia="宋体" w:hAnsi="宋体" w:cs="宋体" w:hint="eastAsia"/>
          <w:b w:val="0"/>
          <w:bCs/>
          <w:color w:val="0432FF"/>
          <w:kern w:val="0"/>
          <w:sz w:val="21"/>
          <w:szCs w:val="21"/>
          <w:highlight w:val="yellow"/>
        </w:rPr>
        <w:t>最优区间的取值和文献[1]基于短距离工况的结果不一样，说明排尘最优风速受通风行程和断面尺寸的影响较大，不能照搬使用。</w:t>
      </w:r>
    </w:p>
    <w:p w14:paraId="7B657F3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1"/>
        <w:rPr>
          <w:rFonts w:ascii="宋体" w:eastAsia="宋体" w:hAnsi="宋体" w:cs="宋体" w:hint="eastAsia"/>
          <w:b w:val="0"/>
          <w:bCs/>
          <w:color w:val="0432FF"/>
          <w:kern w:val="0"/>
          <w:sz w:val="21"/>
          <w:szCs w:val="21"/>
        </w:rPr>
      </w:pPr>
      <w:bookmarkStart w:id="8" w:name="heading_12"/>
      <w:r>
        <w:rPr>
          <w:rFonts w:ascii="宋体" w:eastAsia="宋体" w:hAnsi="宋体" w:cs="宋体" w:hint="eastAsia"/>
          <w:b w:val="0"/>
          <w:bCs/>
          <w:color w:val="0432FF"/>
          <w:kern w:val="0"/>
          <w:sz w:val="21"/>
          <w:szCs w:val="21"/>
        </w:rPr>
        <w:t>4.3粉尘粒径对迁移扩散行为的影响</w:t>
      </w:r>
      <w:bookmarkEnd w:id="8"/>
    </w:p>
    <w:p w14:paraId="3B02F63F">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粒径决定颗粒在流场中受力的比例，重力和气流拖曳力大小决定沉降、输运，不同粒径组分的空间分布以及污染风险也存在较大的差异。粒径大于10μm的粗颗粒重力占主导，沉降快，爆破20min内大部分沉降完成，污染主要集中在掌子面和出渣段。粒径小于2μm的呼吸性粉尘自重很小，拖曳力起控制作用，会随回流风流长距离扩散到隧道中段以后，是作业人员慢性硅尘暴露的主要途径。洞内外温度的温差引起的自然风压对细颗粒的迁移影响很小，在同样的通风条件下，冬季回落时间比夏季长4分钟左右，但是由于受到季节和昼夜扰动的影响较大，不稳定，只能起到安全储备的作用。长大隧道防尘的重点应放在控制呼吸性细颗粒的远距离扩散上。</w:t>
      </w:r>
    </w:p>
    <w:p w14:paraId="0DDCDC94">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color w:val="0432FF"/>
          <w:kern w:val="0"/>
          <w:sz w:val="21"/>
          <w:szCs w:val="21"/>
        </w:rPr>
      </w:pPr>
      <w:bookmarkStart w:id="9" w:name="heading_13"/>
      <w:r>
        <w:rPr>
          <w:rFonts w:ascii="宋体" w:eastAsia="宋体" w:hAnsi="宋体" w:cs="宋体" w:hint="eastAsia"/>
          <w:b w:val="0"/>
          <w:bCs/>
          <w:color w:val="0432FF"/>
          <w:kern w:val="0"/>
          <w:sz w:val="21"/>
          <w:szCs w:val="21"/>
        </w:rPr>
        <w:t>5</w:t>
      </w:r>
      <w:r>
        <w:rPr>
          <w:rFonts w:ascii="宋体" w:eastAsia="宋体" w:hAnsi="宋体" w:cs="宋体" w:hint="eastAsia"/>
          <w:b w:val="0"/>
          <w:bCs/>
          <w:color w:val="0432FF"/>
          <w:kern w:val="0"/>
          <w:sz w:val="21"/>
          <w:szCs w:val="21"/>
          <w:lang w:eastAsia="zh-CN"/>
        </w:rPr>
        <w:t>、</w:t>
      </w:r>
      <w:r>
        <w:rPr>
          <w:rFonts w:ascii="宋体" w:eastAsia="宋体" w:hAnsi="宋体" w:cs="宋体" w:hint="eastAsia"/>
          <w:b w:val="0"/>
          <w:bCs/>
          <w:color w:val="0432FF"/>
          <w:kern w:val="0"/>
          <w:sz w:val="21"/>
          <w:szCs w:val="21"/>
        </w:rPr>
        <w:t>源头-过程协同综合防尘技术及工程效果评价</w:t>
      </w:r>
      <w:bookmarkEnd w:id="9"/>
    </w:p>
    <w:p w14:paraId="43E2D84B">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1"/>
        <w:rPr>
          <w:rFonts w:ascii="宋体" w:eastAsia="宋体" w:hAnsi="宋体" w:cs="宋体" w:hint="eastAsia"/>
          <w:b w:val="0"/>
          <w:bCs/>
          <w:color w:val="0432FF"/>
          <w:kern w:val="0"/>
          <w:sz w:val="21"/>
          <w:szCs w:val="21"/>
        </w:rPr>
      </w:pPr>
      <w:bookmarkStart w:id="10" w:name="heading_14"/>
      <w:r>
        <w:rPr>
          <w:rFonts w:ascii="宋体" w:eastAsia="宋体" w:hAnsi="宋体" w:cs="宋体" w:hint="eastAsia"/>
          <w:b w:val="0"/>
          <w:bCs/>
          <w:color w:val="0432FF"/>
          <w:kern w:val="0"/>
          <w:sz w:val="21"/>
          <w:szCs w:val="21"/>
        </w:rPr>
        <w:t>5.1源头减尘技术</w:t>
      </w:r>
      <w:bookmarkEnd w:id="10"/>
    </w:p>
    <w:p w14:paraId="1A79AF04">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源头减尘就是抑制产尘源头的粉尘扩散，减少产尘源头的初始粉尘量，减轻通风稀释和过程拦截的负担。凿岩用中心供水湿式钻孔，高压水随着钻头进入孔底，破岩的同时把新生岩尘带入水中进行水浴捕集，减少孔口粉尘逸出。爆破粉尘强度最大，靠通风稀释耗时长，装药封孔用水炮泥，起爆冲击波使岩尘雾化，形成爆区水雾场把岩尘捕集；距掌子面20m、50m设风水联动雾幕，爆破信号启动喷雾，对向内逃逸的粉尘进行二次拦截。两者不是简单的相加，水炮泥控制爆源附近粉尘，雾幕拦截扩散粉尘，形成两级源头屏障，可以大大降低爆破的初始峰值，给后续过程降尘留下时间。</w:t>
      </w:r>
    </w:p>
    <w:p w14:paraId="43E42A42">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1"/>
        <w:rPr>
          <w:rFonts w:ascii="宋体" w:eastAsia="宋体" w:hAnsi="宋体" w:cs="宋体" w:hint="eastAsia"/>
          <w:b w:val="0"/>
          <w:bCs/>
          <w:color w:val="0432FF"/>
          <w:kern w:val="0"/>
          <w:sz w:val="21"/>
          <w:szCs w:val="21"/>
        </w:rPr>
      </w:pPr>
      <w:bookmarkStart w:id="11" w:name="heading_15"/>
      <w:r>
        <w:rPr>
          <w:rFonts w:ascii="宋体" w:eastAsia="宋体" w:hAnsi="宋体" w:cs="宋体" w:hint="eastAsia"/>
          <w:b w:val="0"/>
          <w:bCs/>
          <w:color w:val="0432FF"/>
          <w:kern w:val="0"/>
          <w:sz w:val="21"/>
          <w:szCs w:val="21"/>
        </w:rPr>
        <w:t>5.2过程降尘技术</w:t>
      </w:r>
      <w:bookmarkEnd w:id="11"/>
    </w:p>
    <w:p w14:paraId="3789A86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源头减尘很难消除装渣、转载、喷锚等分散点位的扬尘，必须配套过程降尘，对回流途中悬浮粉尘进行分层拦截，在掌子面向洞口处形成一个立体的链条。出渣前先将渣堆表面润湿以减少铲装时的扬尘，转载点设自动喷雾装置，防止渣料落地扬尘。距离掌子面300米、800米分别设置两道湿式净化水幕，过滤随污风回流的呼吸性粉尘，控制细颗粒污染带的纵向范围。喷锚用湿喷机械手代替干喷，提高水灰比，减少回弹率，降低细粉尘的产生。工程措施以外还要配备管理措施，作业人员佩戴KN95口罩，爆破通风时间大于30分钟检测合格方可进洞，个体防护是最后一道防线，工程</w:t>
      </w:r>
      <w:r>
        <w:rPr>
          <w:rFonts w:ascii="宋体" w:eastAsia="宋体" w:hAnsi="宋体" w:cs="宋体" w:hint="eastAsia"/>
          <w:b w:val="0"/>
          <w:bCs/>
          <w:color w:val="0432FF"/>
          <w:kern w:val="0"/>
          <w:sz w:val="21"/>
          <w:szCs w:val="21"/>
          <w:lang w:eastAsia="zh-CN"/>
        </w:rPr>
        <w:t>措施和管</w:t>
      </w:r>
      <w:r>
        <w:rPr>
          <w:rFonts w:ascii="宋体" w:eastAsia="宋体" w:hAnsi="宋体" w:cs="宋体" w:hint="eastAsia"/>
          <w:b w:val="0"/>
          <w:bCs/>
          <w:color w:val="0432FF"/>
          <w:kern w:val="0"/>
          <w:sz w:val="21"/>
          <w:szCs w:val="21"/>
        </w:rPr>
        <w:t>理措施共同构成一道完整的防控体系。</w:t>
      </w:r>
    </w:p>
    <w:p w14:paraId="18072B84">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1"/>
        <w:rPr>
          <w:rFonts w:ascii="宋体" w:eastAsia="宋体" w:hAnsi="宋体" w:cs="宋体" w:hint="eastAsia"/>
          <w:b w:val="0"/>
          <w:bCs/>
          <w:color w:val="0432FF"/>
          <w:kern w:val="0"/>
          <w:sz w:val="21"/>
          <w:szCs w:val="21"/>
        </w:rPr>
      </w:pPr>
      <w:bookmarkStart w:id="12" w:name="heading_16"/>
      <w:r>
        <w:rPr>
          <w:rFonts w:ascii="宋体" w:eastAsia="宋体" w:hAnsi="宋体" w:cs="宋体" w:hint="eastAsia"/>
          <w:b w:val="0"/>
          <w:bCs/>
          <w:color w:val="0432FF"/>
          <w:kern w:val="0"/>
          <w:sz w:val="21"/>
          <w:szCs w:val="21"/>
        </w:rPr>
        <w:t>5.3综合防尘实施效果评价</w:t>
      </w:r>
      <w:bookmarkEnd w:id="12"/>
    </w:p>
    <w:p w14:paraId="09C82C1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在通风系统稳定运行时，在源头减尘和过程降尘的基础上进行多工序检测，按照实测数据拆解降尘的贡献，区分源头工艺、过程拦截和通风稀释三个区域的作用范围。凿岩、出渣、喷锚工序全尘降尘率分别为92.7%、87.7%、87.4%，呼吸性粉尘均符合职业卫生限值，源头湿式凿岩、水炮泥-雾幕对降尘的贡献率主要来自梯级水幕对于细颗粒的辅助拦截作用，通风起到峰值消散和残余稀释的作用。爆破后仍存在瞬时峰值，但是人员已经撤离，采用进班时间管理制度切断暴露的途径。能见度改善使出渣效率提高，月进尺由原来的180m提高到现在的196m。单个技术不能对全过程进行管控，多措施耦合协同才能达到健康施工和施工效</w:t>
      </w:r>
      <w:r>
        <w:rPr>
          <w:rFonts w:ascii="宋体" w:eastAsia="宋体" w:hAnsi="宋体" w:cs="宋体" w:hint="eastAsia"/>
          <w:b w:val="0"/>
          <w:bCs/>
          <w:color w:val="0432FF"/>
          <w:kern w:val="0"/>
          <w:sz w:val="21"/>
          <w:szCs w:val="21"/>
          <w:lang w:eastAsia="zh-CN"/>
        </w:rPr>
        <w:t>率</w:t>
      </w:r>
      <w:r>
        <w:rPr>
          <w:rFonts w:ascii="宋体" w:eastAsia="宋体" w:hAnsi="宋体" w:cs="宋体" w:hint="eastAsia"/>
          <w:b w:val="0"/>
          <w:bCs/>
          <w:color w:val="0432FF"/>
          <w:kern w:val="0"/>
          <w:sz w:val="21"/>
          <w:szCs w:val="21"/>
          <w:lang w:val="en-US" w:eastAsia="zh-CN"/>
        </w:rPr>
        <w:t>的目的</w:t>
      </w:r>
      <w:r>
        <w:rPr>
          <w:rFonts w:ascii="宋体" w:eastAsia="宋体" w:hAnsi="宋体" w:cs="宋体" w:hint="eastAsia"/>
          <w:b w:val="0"/>
          <w:bCs/>
          <w:color w:val="0432FF"/>
          <w:kern w:val="0"/>
          <w:sz w:val="21"/>
          <w:szCs w:val="21"/>
        </w:rPr>
        <w:t>。</w:t>
      </w:r>
    </w:p>
    <w:p w14:paraId="7ED9A1D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jc w:val="left"/>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表2</w:t>
      </w:r>
      <w:r>
        <w:rPr>
          <w:rFonts w:ascii="宋体" w:eastAsia="宋体" w:hAnsi="宋体" w:cs="宋体" w:hint="eastAsia"/>
          <w:b w:val="0"/>
          <w:bCs/>
          <w:color w:val="0432FF"/>
          <w:kern w:val="0"/>
          <w:sz w:val="21"/>
          <w:szCs w:val="21"/>
          <w:lang w:val="en-US" w:eastAsia="zh-CN"/>
        </w:rPr>
        <w:t xml:space="preserve">                     </w:t>
      </w:r>
      <w:r>
        <w:rPr>
          <w:rFonts w:ascii="宋体" w:eastAsia="宋体" w:hAnsi="宋体" w:cs="宋体" w:hint="eastAsia"/>
          <w:b w:val="0"/>
          <w:bCs/>
          <w:color w:val="0432FF"/>
          <w:kern w:val="0"/>
          <w:sz w:val="21"/>
          <w:szCs w:val="21"/>
        </w:rPr>
        <w:t>综合防尘措施实施前后粉尘浓度对比</w:t>
      </w:r>
    </w:p>
    <w:tbl>
      <w:tblPr>
        <w:tblStyle w:val="TableNormal"/>
        <w:tblW w:w="8521" w:type="dxa"/>
        <w:jc w:val="center"/>
        <w:tblBorders>
          <w:top w:val="nil"/>
          <w:left w:val="nil"/>
          <w:bottom w:val="nil"/>
          <w:right w:val="nil"/>
          <w:insideH w:val="nil"/>
          <w:insideV w:val="nil"/>
        </w:tblBorders>
        <w:tblCellMar>
          <w:top w:w="0" w:type="dxa"/>
          <w:left w:w="10" w:type="dxa"/>
          <w:bottom w:w="0" w:type="dxa"/>
          <w:right w:w="10" w:type="dxa"/>
        </w:tblCellMar>
      </w:tblPr>
      <w:tblGrid>
        <w:gridCol w:w="1529"/>
        <w:gridCol w:w="1824"/>
        <w:gridCol w:w="1824"/>
        <w:gridCol w:w="1518"/>
        <w:gridCol w:w="1826"/>
      </w:tblGrid>
      <w:tr w14:paraId="64E41360">
        <w:tblPrEx>
          <w:tblW w:w="8521" w:type="dxa"/>
          <w:jc w:val="center"/>
          <w:tblBorders>
            <w:top w:val="nil"/>
            <w:left w:val="nil"/>
            <w:bottom w:val="nil"/>
            <w:right w:val="nil"/>
            <w:insideH w:val="nil"/>
            <w:insideV w:val="nil"/>
          </w:tblBorders>
          <w:tblCellMar>
            <w:top w:w="0" w:type="dxa"/>
            <w:left w:w="10" w:type="dxa"/>
            <w:bottom w:w="0" w:type="dxa"/>
            <w:right w:w="10" w:type="dxa"/>
          </w:tblCellMar>
        </w:tblPrEx>
        <w:trPr>
          <w:trHeight w:hRule="auto" w:val="0"/>
          <w:tblHeader/>
          <w:jc w:val="center"/>
        </w:trPr>
        <w:tc>
          <w:tcPr>
            <w:tcW w:w="1529" w:type="dxa"/>
            <w:tcBorders>
              <w:top w:val="single" w:sz="12" w:space="0" w:color="auto"/>
              <w:left w:val="nil"/>
              <w:bottom w:val="nil"/>
              <w:right w:val="nil"/>
            </w:tcBorders>
            <w:noWrap w:val="0"/>
            <w:tcMar>
              <w:top w:w="60" w:type="dxa"/>
              <w:left w:w="120" w:type="dxa"/>
              <w:bottom w:w="30" w:type="dxa"/>
              <w:right w:w="120" w:type="dxa"/>
            </w:tcMar>
            <w:vAlign w:val="center"/>
          </w:tcPr>
          <w:p w14:paraId="0E8995F3">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bCs/>
                <w:color w:val="0432FF"/>
                <w:kern w:val="0"/>
                <w:sz w:val="21"/>
                <w:szCs w:val="21"/>
              </w:rPr>
            </w:pPr>
            <w:r>
              <w:rPr>
                <w:rFonts w:ascii="宋体" w:eastAsia="宋体" w:hAnsi="宋体" w:cs="宋体" w:hint="eastAsia"/>
                <w:b/>
                <w:bCs/>
                <w:color w:val="0432FF"/>
                <w:kern w:val="0"/>
                <w:sz w:val="21"/>
                <w:szCs w:val="21"/>
              </w:rPr>
              <w:t>作业环节</w:t>
            </w:r>
          </w:p>
        </w:tc>
        <w:tc>
          <w:tcPr>
            <w:tcW w:w="1824" w:type="dxa"/>
            <w:tcBorders>
              <w:top w:val="single" w:sz="12" w:space="0" w:color="auto"/>
              <w:left w:val="nil"/>
              <w:bottom w:val="nil"/>
              <w:right w:val="nil"/>
            </w:tcBorders>
            <w:noWrap w:val="0"/>
            <w:tcMar>
              <w:top w:w="60" w:type="dxa"/>
              <w:left w:w="120" w:type="dxa"/>
              <w:bottom w:w="30" w:type="dxa"/>
              <w:right w:w="120" w:type="dxa"/>
            </w:tcMar>
            <w:vAlign w:val="center"/>
          </w:tcPr>
          <w:p w14:paraId="02D8170C">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bCs/>
                <w:color w:val="0432FF"/>
                <w:kern w:val="0"/>
                <w:sz w:val="21"/>
                <w:szCs w:val="21"/>
              </w:rPr>
            </w:pPr>
            <w:r>
              <w:rPr>
                <w:rFonts w:ascii="宋体" w:eastAsia="宋体" w:hAnsi="宋体" w:cs="宋体" w:hint="eastAsia"/>
                <w:b/>
                <w:bCs/>
                <w:color w:val="0432FF"/>
                <w:kern w:val="0"/>
                <w:sz w:val="21"/>
                <w:szCs w:val="21"/>
              </w:rPr>
              <w:t>全尘实施前/</w:t>
            </w:r>
          </w:p>
          <w:p w14:paraId="6AAE8B45">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bCs/>
                <w:color w:val="0432FF"/>
                <w:kern w:val="0"/>
                <w:sz w:val="21"/>
                <w:szCs w:val="21"/>
              </w:rPr>
            </w:pPr>
            <w:r>
              <w:rPr>
                <w:rFonts w:ascii="宋体" w:eastAsia="宋体" w:hAnsi="宋体" w:cs="宋体" w:hint="eastAsia"/>
                <w:b/>
                <w:bCs/>
                <w:color w:val="0432FF"/>
                <w:kern w:val="0"/>
                <w:sz w:val="21"/>
                <w:szCs w:val="21"/>
              </w:rPr>
              <w:t>(mg/m³)</w:t>
            </w:r>
          </w:p>
        </w:tc>
        <w:tc>
          <w:tcPr>
            <w:tcW w:w="1824" w:type="dxa"/>
            <w:tcBorders>
              <w:top w:val="single" w:sz="12" w:space="0" w:color="auto"/>
              <w:left w:val="nil"/>
              <w:bottom w:val="nil"/>
              <w:right w:val="nil"/>
            </w:tcBorders>
            <w:noWrap w:val="0"/>
            <w:tcMar>
              <w:top w:w="60" w:type="dxa"/>
              <w:left w:w="120" w:type="dxa"/>
              <w:bottom w:w="30" w:type="dxa"/>
              <w:right w:w="120" w:type="dxa"/>
            </w:tcMar>
            <w:vAlign w:val="center"/>
          </w:tcPr>
          <w:p w14:paraId="420EAF73">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bCs/>
                <w:color w:val="0432FF"/>
                <w:kern w:val="0"/>
                <w:sz w:val="21"/>
                <w:szCs w:val="21"/>
              </w:rPr>
            </w:pPr>
            <w:r>
              <w:rPr>
                <w:rFonts w:ascii="宋体" w:eastAsia="宋体" w:hAnsi="宋体" w:cs="宋体" w:hint="eastAsia"/>
                <w:b/>
                <w:bCs/>
                <w:color w:val="0432FF"/>
                <w:kern w:val="0"/>
                <w:sz w:val="21"/>
                <w:szCs w:val="21"/>
              </w:rPr>
              <w:t>全尘实施后/</w:t>
            </w:r>
          </w:p>
          <w:p w14:paraId="5E82617A">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bCs/>
                <w:color w:val="0432FF"/>
                <w:kern w:val="0"/>
                <w:sz w:val="21"/>
                <w:szCs w:val="21"/>
              </w:rPr>
            </w:pPr>
            <w:r>
              <w:rPr>
                <w:rFonts w:ascii="宋体" w:eastAsia="宋体" w:hAnsi="宋体" w:cs="宋体" w:hint="eastAsia"/>
                <w:b/>
                <w:bCs/>
                <w:color w:val="0432FF"/>
                <w:kern w:val="0"/>
                <w:sz w:val="21"/>
                <w:szCs w:val="21"/>
              </w:rPr>
              <w:t>(mg/m³)</w:t>
            </w:r>
          </w:p>
        </w:tc>
        <w:tc>
          <w:tcPr>
            <w:tcW w:w="1518" w:type="dxa"/>
            <w:tcBorders>
              <w:top w:val="single" w:sz="12" w:space="0" w:color="auto"/>
              <w:left w:val="nil"/>
              <w:bottom w:val="nil"/>
              <w:right w:val="nil"/>
            </w:tcBorders>
            <w:noWrap w:val="0"/>
            <w:tcMar>
              <w:top w:w="60" w:type="dxa"/>
              <w:left w:w="120" w:type="dxa"/>
              <w:bottom w:w="30" w:type="dxa"/>
              <w:right w:w="120" w:type="dxa"/>
            </w:tcMar>
            <w:vAlign w:val="center"/>
          </w:tcPr>
          <w:p w14:paraId="5276D325">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bCs/>
                <w:color w:val="0432FF"/>
                <w:kern w:val="0"/>
                <w:sz w:val="21"/>
                <w:szCs w:val="21"/>
              </w:rPr>
            </w:pPr>
            <w:r>
              <w:rPr>
                <w:rFonts w:ascii="宋体" w:eastAsia="宋体" w:hAnsi="宋体" w:cs="宋体" w:hint="eastAsia"/>
                <w:b/>
                <w:bCs/>
                <w:color w:val="0432FF"/>
                <w:kern w:val="0"/>
                <w:sz w:val="21"/>
                <w:szCs w:val="21"/>
              </w:rPr>
              <w:t>全尘降尘率/%</w:t>
            </w:r>
          </w:p>
        </w:tc>
        <w:tc>
          <w:tcPr>
            <w:tcW w:w="1825" w:type="dxa"/>
            <w:tcBorders>
              <w:top w:val="single" w:sz="12" w:space="0" w:color="auto"/>
              <w:left w:val="nil"/>
              <w:bottom w:val="nil"/>
              <w:right w:val="nil"/>
            </w:tcBorders>
            <w:noWrap w:val="0"/>
            <w:tcMar>
              <w:top w:w="60" w:type="dxa"/>
              <w:left w:w="120" w:type="dxa"/>
              <w:bottom w:w="30" w:type="dxa"/>
              <w:right w:w="120" w:type="dxa"/>
            </w:tcMar>
            <w:vAlign w:val="center"/>
          </w:tcPr>
          <w:p w14:paraId="1FBA5ED7">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bCs/>
                <w:color w:val="0432FF"/>
                <w:kern w:val="0"/>
                <w:sz w:val="21"/>
                <w:szCs w:val="21"/>
              </w:rPr>
            </w:pPr>
            <w:r>
              <w:rPr>
                <w:rFonts w:ascii="宋体" w:eastAsia="宋体" w:hAnsi="宋体" w:cs="宋体" w:hint="eastAsia"/>
                <w:b/>
                <w:bCs/>
                <w:color w:val="0432FF"/>
                <w:kern w:val="0"/>
                <w:sz w:val="21"/>
                <w:szCs w:val="21"/>
              </w:rPr>
              <w:t>呼尘实施后/</w:t>
            </w:r>
          </w:p>
          <w:p w14:paraId="7E8B087E">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bCs/>
                <w:color w:val="0432FF"/>
                <w:kern w:val="0"/>
                <w:sz w:val="21"/>
                <w:szCs w:val="21"/>
              </w:rPr>
            </w:pPr>
            <w:r>
              <w:rPr>
                <w:rFonts w:ascii="宋体" w:eastAsia="宋体" w:hAnsi="宋体" w:cs="宋体" w:hint="eastAsia"/>
                <w:b/>
                <w:bCs/>
                <w:color w:val="0432FF"/>
                <w:kern w:val="0"/>
                <w:sz w:val="21"/>
                <w:szCs w:val="21"/>
              </w:rPr>
              <w:t>(mg/m³)</w:t>
            </w:r>
          </w:p>
        </w:tc>
      </w:tr>
      <w:tr w14:paraId="06483067">
        <w:tblPrEx>
          <w:tblW w:w="8521" w:type="dxa"/>
          <w:jc w:val="center"/>
          <w:tblCellMar>
            <w:top w:w="0" w:type="dxa"/>
            <w:left w:w="10" w:type="dxa"/>
            <w:bottom w:w="0" w:type="dxa"/>
            <w:right w:w="10" w:type="dxa"/>
          </w:tblCellMar>
        </w:tblPrEx>
        <w:trPr>
          <w:trHeight w:hRule="auto" w:val="0"/>
          <w:jc w:val="center"/>
        </w:trPr>
        <w:tc>
          <w:tcPr>
            <w:tcW w:w="1529" w:type="dxa"/>
            <w:tcBorders>
              <w:top w:val="single" w:sz="4" w:space="0" w:color="auto"/>
              <w:left w:val="nil"/>
              <w:bottom w:val="nil"/>
              <w:right w:val="nil"/>
            </w:tcBorders>
            <w:noWrap w:val="0"/>
            <w:tcMar>
              <w:top w:w="60" w:type="dxa"/>
              <w:left w:w="120" w:type="dxa"/>
              <w:bottom w:w="30" w:type="dxa"/>
              <w:right w:w="120" w:type="dxa"/>
            </w:tcMar>
            <w:vAlign w:val="center"/>
          </w:tcPr>
          <w:p w14:paraId="45CA9D4A">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凿岩打孔</w:t>
            </w:r>
          </w:p>
        </w:tc>
        <w:tc>
          <w:tcPr>
            <w:tcW w:w="1824" w:type="dxa"/>
            <w:tcBorders>
              <w:top w:val="single" w:sz="4" w:space="0" w:color="auto"/>
              <w:left w:val="nil"/>
              <w:bottom w:val="nil"/>
              <w:right w:val="nil"/>
            </w:tcBorders>
            <w:noWrap w:val="0"/>
            <w:tcMar>
              <w:top w:w="60" w:type="dxa"/>
              <w:left w:w="120" w:type="dxa"/>
              <w:bottom w:w="30" w:type="dxa"/>
              <w:right w:w="120" w:type="dxa"/>
            </w:tcMar>
            <w:vAlign w:val="center"/>
          </w:tcPr>
          <w:p w14:paraId="277C04DF">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118.4</w:t>
            </w:r>
          </w:p>
        </w:tc>
        <w:tc>
          <w:tcPr>
            <w:tcW w:w="1824" w:type="dxa"/>
            <w:tcBorders>
              <w:top w:val="single" w:sz="4" w:space="0" w:color="auto"/>
              <w:left w:val="nil"/>
              <w:bottom w:val="nil"/>
              <w:right w:val="nil"/>
            </w:tcBorders>
            <w:noWrap w:val="0"/>
            <w:tcMar>
              <w:top w:w="60" w:type="dxa"/>
              <w:left w:w="120" w:type="dxa"/>
              <w:bottom w:w="30" w:type="dxa"/>
              <w:right w:w="120" w:type="dxa"/>
            </w:tcMar>
            <w:vAlign w:val="center"/>
          </w:tcPr>
          <w:p w14:paraId="6B9B75E3">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8.6</w:t>
            </w:r>
          </w:p>
        </w:tc>
        <w:tc>
          <w:tcPr>
            <w:tcW w:w="1518" w:type="dxa"/>
            <w:tcBorders>
              <w:top w:val="single" w:sz="4" w:space="0" w:color="auto"/>
              <w:left w:val="nil"/>
              <w:bottom w:val="nil"/>
              <w:right w:val="nil"/>
            </w:tcBorders>
            <w:noWrap w:val="0"/>
            <w:tcMar>
              <w:top w:w="60" w:type="dxa"/>
              <w:left w:w="120" w:type="dxa"/>
              <w:bottom w:w="30" w:type="dxa"/>
              <w:right w:w="120" w:type="dxa"/>
            </w:tcMar>
            <w:vAlign w:val="center"/>
          </w:tcPr>
          <w:p w14:paraId="38DC2C1C">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92.7</w:t>
            </w:r>
          </w:p>
        </w:tc>
        <w:tc>
          <w:tcPr>
            <w:tcW w:w="1825" w:type="dxa"/>
            <w:tcBorders>
              <w:top w:val="single" w:sz="4" w:space="0" w:color="auto"/>
              <w:left w:val="nil"/>
              <w:bottom w:val="nil"/>
              <w:right w:val="nil"/>
            </w:tcBorders>
            <w:noWrap w:val="0"/>
            <w:tcMar>
              <w:top w:w="60" w:type="dxa"/>
              <w:left w:w="120" w:type="dxa"/>
              <w:bottom w:w="30" w:type="dxa"/>
              <w:right w:w="120" w:type="dxa"/>
            </w:tcMar>
            <w:vAlign w:val="center"/>
          </w:tcPr>
          <w:p w14:paraId="013E3A40">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1.6</w:t>
            </w:r>
          </w:p>
        </w:tc>
      </w:tr>
      <w:tr w14:paraId="10D125A1">
        <w:tblPrEx>
          <w:tblW w:w="8521" w:type="dxa"/>
          <w:jc w:val="center"/>
          <w:tblCellMar>
            <w:top w:w="0" w:type="dxa"/>
            <w:left w:w="10" w:type="dxa"/>
            <w:bottom w:w="0" w:type="dxa"/>
            <w:right w:w="10" w:type="dxa"/>
          </w:tblCellMar>
        </w:tblPrEx>
        <w:trPr>
          <w:trHeight w:hRule="auto" w:val="0"/>
          <w:jc w:val="center"/>
        </w:trPr>
        <w:tc>
          <w:tcPr>
            <w:tcW w:w="1529" w:type="dxa"/>
            <w:tcBorders>
              <w:top w:val="nil"/>
              <w:left w:val="nil"/>
              <w:bottom w:val="nil"/>
              <w:right w:val="nil"/>
            </w:tcBorders>
            <w:noWrap w:val="0"/>
            <w:tcMar>
              <w:top w:w="60" w:type="dxa"/>
              <w:left w:w="120" w:type="dxa"/>
              <w:bottom w:w="30" w:type="dxa"/>
              <w:right w:w="120" w:type="dxa"/>
            </w:tcMar>
            <w:vAlign w:val="center"/>
          </w:tcPr>
          <w:p w14:paraId="240EB2C5">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出渣运输</w:t>
            </w:r>
          </w:p>
        </w:tc>
        <w:tc>
          <w:tcPr>
            <w:tcW w:w="1824" w:type="dxa"/>
            <w:tcBorders>
              <w:top w:val="nil"/>
              <w:left w:val="nil"/>
              <w:bottom w:val="nil"/>
              <w:right w:val="nil"/>
            </w:tcBorders>
            <w:noWrap w:val="0"/>
            <w:tcMar>
              <w:top w:w="60" w:type="dxa"/>
              <w:left w:w="120" w:type="dxa"/>
              <w:bottom w:w="30" w:type="dxa"/>
              <w:right w:w="120" w:type="dxa"/>
            </w:tcMar>
            <w:vAlign w:val="center"/>
          </w:tcPr>
          <w:p w14:paraId="3AC8F2B0">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76.2</w:t>
            </w:r>
          </w:p>
        </w:tc>
        <w:tc>
          <w:tcPr>
            <w:tcW w:w="1824" w:type="dxa"/>
            <w:tcBorders>
              <w:top w:val="nil"/>
              <w:left w:val="nil"/>
              <w:bottom w:val="nil"/>
              <w:right w:val="nil"/>
            </w:tcBorders>
            <w:noWrap w:val="0"/>
            <w:tcMar>
              <w:top w:w="60" w:type="dxa"/>
              <w:left w:w="120" w:type="dxa"/>
              <w:bottom w:w="30" w:type="dxa"/>
              <w:right w:w="120" w:type="dxa"/>
            </w:tcMar>
            <w:vAlign w:val="center"/>
          </w:tcPr>
          <w:p w14:paraId="419BFD95">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9.4</w:t>
            </w:r>
          </w:p>
        </w:tc>
        <w:tc>
          <w:tcPr>
            <w:tcW w:w="1518" w:type="dxa"/>
            <w:tcBorders>
              <w:top w:val="nil"/>
              <w:left w:val="nil"/>
              <w:bottom w:val="nil"/>
              <w:right w:val="nil"/>
            </w:tcBorders>
            <w:noWrap w:val="0"/>
            <w:tcMar>
              <w:top w:w="60" w:type="dxa"/>
              <w:left w:w="120" w:type="dxa"/>
              <w:bottom w:w="30" w:type="dxa"/>
              <w:right w:w="120" w:type="dxa"/>
            </w:tcMar>
            <w:vAlign w:val="center"/>
          </w:tcPr>
          <w:p w14:paraId="6C6A4ACB">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87.7</w:t>
            </w:r>
          </w:p>
        </w:tc>
        <w:tc>
          <w:tcPr>
            <w:tcW w:w="1825" w:type="dxa"/>
            <w:tcBorders>
              <w:top w:val="nil"/>
              <w:left w:val="nil"/>
              <w:bottom w:val="nil"/>
              <w:right w:val="nil"/>
            </w:tcBorders>
            <w:noWrap w:val="0"/>
            <w:tcMar>
              <w:top w:w="60" w:type="dxa"/>
              <w:left w:w="120" w:type="dxa"/>
              <w:bottom w:w="30" w:type="dxa"/>
              <w:right w:w="120" w:type="dxa"/>
            </w:tcMar>
            <w:vAlign w:val="center"/>
          </w:tcPr>
          <w:p w14:paraId="2277079E">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1.9</w:t>
            </w:r>
          </w:p>
        </w:tc>
      </w:tr>
      <w:tr w14:paraId="3FB6B89B">
        <w:tblPrEx>
          <w:tblW w:w="8521" w:type="dxa"/>
          <w:jc w:val="center"/>
          <w:tblCellMar>
            <w:top w:w="0" w:type="dxa"/>
            <w:left w:w="10" w:type="dxa"/>
            <w:bottom w:w="0" w:type="dxa"/>
            <w:right w:w="10" w:type="dxa"/>
          </w:tblCellMar>
        </w:tblPrEx>
        <w:trPr>
          <w:trHeight w:hRule="auto" w:val="0"/>
          <w:jc w:val="center"/>
        </w:trPr>
        <w:tc>
          <w:tcPr>
            <w:tcW w:w="1529" w:type="dxa"/>
            <w:tcBorders>
              <w:top w:val="nil"/>
              <w:left w:val="nil"/>
              <w:bottom w:val="nil"/>
              <w:right w:val="nil"/>
            </w:tcBorders>
            <w:noWrap w:val="0"/>
            <w:tcMar>
              <w:top w:w="60" w:type="dxa"/>
              <w:left w:w="120" w:type="dxa"/>
              <w:bottom w:w="30" w:type="dxa"/>
              <w:right w:w="120" w:type="dxa"/>
            </w:tcMar>
            <w:vAlign w:val="center"/>
          </w:tcPr>
          <w:p w14:paraId="61332CA4">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喷锚支护</w:t>
            </w:r>
          </w:p>
        </w:tc>
        <w:tc>
          <w:tcPr>
            <w:tcW w:w="1824" w:type="dxa"/>
            <w:tcBorders>
              <w:top w:val="nil"/>
              <w:left w:val="nil"/>
              <w:bottom w:val="nil"/>
              <w:right w:val="nil"/>
            </w:tcBorders>
            <w:noWrap w:val="0"/>
            <w:tcMar>
              <w:top w:w="60" w:type="dxa"/>
              <w:left w:w="120" w:type="dxa"/>
              <w:bottom w:w="30" w:type="dxa"/>
              <w:right w:w="120" w:type="dxa"/>
            </w:tcMar>
            <w:vAlign w:val="center"/>
          </w:tcPr>
          <w:p w14:paraId="772EA6EF">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148.6</w:t>
            </w:r>
          </w:p>
        </w:tc>
        <w:tc>
          <w:tcPr>
            <w:tcW w:w="1824" w:type="dxa"/>
            <w:tcBorders>
              <w:top w:val="nil"/>
              <w:left w:val="nil"/>
              <w:bottom w:val="nil"/>
              <w:right w:val="nil"/>
            </w:tcBorders>
            <w:noWrap w:val="0"/>
            <w:tcMar>
              <w:top w:w="60" w:type="dxa"/>
              <w:left w:w="120" w:type="dxa"/>
              <w:bottom w:w="30" w:type="dxa"/>
              <w:right w:w="120" w:type="dxa"/>
            </w:tcMar>
            <w:vAlign w:val="center"/>
          </w:tcPr>
          <w:p w14:paraId="2D1CE09C">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18.7</w:t>
            </w:r>
          </w:p>
        </w:tc>
        <w:tc>
          <w:tcPr>
            <w:tcW w:w="1518" w:type="dxa"/>
            <w:tcBorders>
              <w:top w:val="nil"/>
              <w:left w:val="nil"/>
              <w:bottom w:val="nil"/>
              <w:right w:val="nil"/>
            </w:tcBorders>
            <w:noWrap w:val="0"/>
            <w:tcMar>
              <w:top w:w="60" w:type="dxa"/>
              <w:left w:w="120" w:type="dxa"/>
              <w:bottom w:w="30" w:type="dxa"/>
              <w:right w:w="120" w:type="dxa"/>
            </w:tcMar>
            <w:vAlign w:val="center"/>
          </w:tcPr>
          <w:p w14:paraId="0E7A49D2">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87.4</w:t>
            </w:r>
          </w:p>
        </w:tc>
        <w:tc>
          <w:tcPr>
            <w:tcW w:w="1825" w:type="dxa"/>
            <w:tcBorders>
              <w:top w:val="nil"/>
              <w:left w:val="nil"/>
              <w:bottom w:val="nil"/>
              <w:right w:val="nil"/>
            </w:tcBorders>
            <w:noWrap w:val="0"/>
            <w:tcMar>
              <w:top w:w="60" w:type="dxa"/>
              <w:left w:w="120" w:type="dxa"/>
              <w:bottom w:w="30" w:type="dxa"/>
              <w:right w:w="120" w:type="dxa"/>
            </w:tcMar>
            <w:vAlign w:val="center"/>
          </w:tcPr>
          <w:p w14:paraId="6D722AB2">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3.8</w:t>
            </w:r>
          </w:p>
        </w:tc>
      </w:tr>
      <w:tr w14:paraId="07F461A3">
        <w:tblPrEx>
          <w:tblW w:w="8521" w:type="dxa"/>
          <w:jc w:val="center"/>
          <w:tblCellMar>
            <w:top w:w="0" w:type="dxa"/>
            <w:left w:w="10" w:type="dxa"/>
            <w:bottom w:w="0" w:type="dxa"/>
            <w:right w:w="10" w:type="dxa"/>
          </w:tblCellMar>
        </w:tblPrEx>
        <w:trPr>
          <w:trHeight w:hRule="auto" w:val="0"/>
          <w:jc w:val="center"/>
        </w:trPr>
        <w:tc>
          <w:tcPr>
            <w:tcW w:w="1529" w:type="dxa"/>
            <w:tcBorders>
              <w:top w:val="nil"/>
              <w:left w:val="nil"/>
              <w:bottom w:val="single" w:sz="12" w:space="0" w:color="auto"/>
              <w:right w:val="nil"/>
            </w:tcBorders>
            <w:noWrap w:val="0"/>
            <w:tcMar>
              <w:top w:w="60" w:type="dxa"/>
              <w:left w:w="120" w:type="dxa"/>
              <w:bottom w:w="30" w:type="dxa"/>
              <w:right w:w="120" w:type="dxa"/>
            </w:tcMar>
            <w:vAlign w:val="center"/>
          </w:tcPr>
          <w:p w14:paraId="7F90ABD1">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爆破后初期峰值</w:t>
            </w:r>
          </w:p>
        </w:tc>
        <w:tc>
          <w:tcPr>
            <w:tcW w:w="1824" w:type="dxa"/>
            <w:tcBorders>
              <w:top w:val="nil"/>
              <w:left w:val="nil"/>
              <w:bottom w:val="single" w:sz="12" w:space="0" w:color="auto"/>
              <w:right w:val="nil"/>
            </w:tcBorders>
            <w:noWrap w:val="0"/>
            <w:tcMar>
              <w:top w:w="60" w:type="dxa"/>
              <w:left w:w="120" w:type="dxa"/>
              <w:bottom w:w="30" w:type="dxa"/>
              <w:right w:w="120" w:type="dxa"/>
            </w:tcMar>
            <w:vAlign w:val="center"/>
          </w:tcPr>
          <w:p w14:paraId="111F7E55">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868.5</w:t>
            </w:r>
          </w:p>
        </w:tc>
        <w:tc>
          <w:tcPr>
            <w:tcW w:w="1824" w:type="dxa"/>
            <w:tcBorders>
              <w:top w:val="nil"/>
              <w:left w:val="nil"/>
              <w:bottom w:val="single" w:sz="12" w:space="0" w:color="auto"/>
              <w:right w:val="nil"/>
            </w:tcBorders>
            <w:noWrap w:val="0"/>
            <w:tcMar>
              <w:top w:w="60" w:type="dxa"/>
              <w:left w:w="120" w:type="dxa"/>
              <w:bottom w:w="30" w:type="dxa"/>
              <w:right w:w="120" w:type="dxa"/>
            </w:tcMar>
            <w:vAlign w:val="center"/>
          </w:tcPr>
          <w:p w14:paraId="46B2A3C3">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476.2</w:t>
            </w:r>
          </w:p>
        </w:tc>
        <w:tc>
          <w:tcPr>
            <w:tcW w:w="1518" w:type="dxa"/>
            <w:tcBorders>
              <w:top w:val="nil"/>
              <w:left w:val="nil"/>
              <w:bottom w:val="single" w:sz="12" w:space="0" w:color="auto"/>
              <w:right w:val="nil"/>
            </w:tcBorders>
            <w:noWrap w:val="0"/>
            <w:tcMar>
              <w:top w:w="60" w:type="dxa"/>
              <w:left w:w="120" w:type="dxa"/>
              <w:bottom w:w="30" w:type="dxa"/>
              <w:right w:w="120" w:type="dxa"/>
            </w:tcMar>
            <w:vAlign w:val="center"/>
          </w:tcPr>
          <w:p w14:paraId="65521027">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45.1</w:t>
            </w:r>
          </w:p>
        </w:tc>
        <w:tc>
          <w:tcPr>
            <w:tcW w:w="1825" w:type="dxa"/>
            <w:tcBorders>
              <w:top w:val="nil"/>
              <w:left w:val="nil"/>
              <w:bottom w:val="single" w:sz="12" w:space="0" w:color="auto"/>
              <w:right w:val="nil"/>
            </w:tcBorders>
            <w:noWrap w:val="0"/>
            <w:tcMar>
              <w:top w:w="60" w:type="dxa"/>
              <w:left w:w="120" w:type="dxa"/>
              <w:bottom w:w="30" w:type="dxa"/>
              <w:right w:w="120" w:type="dxa"/>
            </w:tcMar>
            <w:vAlign w:val="center"/>
          </w:tcPr>
          <w:p w14:paraId="1331A6B2">
            <w:pPr>
              <w:keepNext w:val="0"/>
              <w:keepLines w:val="0"/>
              <w:pageBreakBefore w:val="0"/>
              <w:widowControl w:val="0"/>
              <w:kinsoku/>
              <w:wordWrap/>
              <w:overflowPunct/>
              <w:topLinePunct w:val="0"/>
              <w:autoSpaceDE/>
              <w:autoSpaceDN/>
              <w:bidi w:val="0"/>
              <w:adjustRightInd/>
              <w:snapToGrid w:val="0"/>
              <w:spacing w:line="360" w:lineRule="auto"/>
              <w:ind w:left="0" w:right="0" w:firstLine="420" w:leftChars="0" w:rightChars="0" w:firstLineChars="200"/>
              <w:jc w:val="center"/>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74.3</w:t>
            </w:r>
          </w:p>
        </w:tc>
      </w:tr>
    </w:tbl>
    <w:p w14:paraId="2B0C008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color w:val="0432FF"/>
          <w:kern w:val="0"/>
          <w:sz w:val="21"/>
          <w:szCs w:val="21"/>
          <w:lang w:val="en-US" w:eastAsia="zh-CN"/>
        </w:rPr>
      </w:pPr>
      <w:bookmarkStart w:id="13" w:name="heading_17"/>
      <w:r>
        <w:rPr>
          <w:rFonts w:ascii="宋体" w:eastAsia="宋体" w:hAnsi="宋体" w:cs="宋体" w:hint="eastAsia"/>
          <w:b w:val="0"/>
          <w:bCs/>
          <w:color w:val="0432FF"/>
          <w:kern w:val="0"/>
          <w:sz w:val="21"/>
          <w:szCs w:val="21"/>
        </w:rPr>
        <w:t>结</w:t>
      </w:r>
      <w:bookmarkEnd w:id="13"/>
      <w:r>
        <w:rPr>
          <w:rFonts w:ascii="宋体" w:eastAsia="宋体" w:hAnsi="宋体" w:cs="宋体" w:hint="eastAsia"/>
          <w:b w:val="0"/>
          <w:bCs/>
          <w:color w:val="0432FF"/>
          <w:kern w:val="0"/>
          <w:sz w:val="21"/>
          <w:szCs w:val="21"/>
          <w:lang w:val="en-US" w:eastAsia="zh-CN"/>
        </w:rPr>
        <w:t>语</w:t>
      </w:r>
    </w:p>
    <w:p w14:paraId="602F9FB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color w:val="0432FF"/>
          <w:kern w:val="0"/>
          <w:sz w:val="21"/>
          <w:szCs w:val="21"/>
        </w:rPr>
      </w:pPr>
      <w:r>
        <w:rPr>
          <w:rFonts w:ascii="宋体" w:eastAsia="宋体" w:hAnsi="宋体" w:cs="宋体" w:hint="eastAsia"/>
          <w:b w:val="0"/>
          <w:bCs/>
          <w:color w:val="0432FF"/>
          <w:kern w:val="0"/>
          <w:sz w:val="21"/>
          <w:szCs w:val="21"/>
        </w:rPr>
        <w:t>对最大独头掘进3200m的特长隧道，经过漏风修正的压入式通风系统可以满足爆破后30min内炮烟、粉尘消除的作业要求，在长距离工况下漏风修正的通风设备选型不能忽略。现场实测结果说明，长距离压入通风时爆破粉尘有峰值前移衰减的现象，排尘风速有最佳范围，2μm以下呼吸性粉尘是职业健康防护的中心工作。源头-过程协同防尘技术体系常态化作业工序粉尘含量符合职业卫生标准，并且有利于提高掘进施工效率。本文的结论是在Ⅳ级围岩、爆破参数确定情况下得到的，围岩、断面及爆破参数变化时的具体数值会发生偏移，但是机理的趋势有参考意义，以后可以以现场实测数据为基础做参数敏感性分析。</w:t>
      </w:r>
    </w:p>
    <w:p w14:paraId="4078F2C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0432FF"/>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儷宋 Pro">
    <w:panose1 w:val="02020300000000000000"/>
    <w:charset w:val="88"/>
    <w:family w:val="auto"/>
    <w:pitch w:val="default"/>
    <w:sig w:usb0="80000001" w:usb1="28091800" w:usb2="00000016" w:usb3="00000000" w:csb0="0010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DFFCB59"/>
    <w:rsid w:val="6EDD75E1"/>
    <w:rsid w:val="6F3D519A"/>
    <w:rsid w:val="6FCF34D6"/>
    <w:rsid w:val="6FE2BE66"/>
    <w:rsid w:val="6FEBFB73"/>
    <w:rsid w:val="6FFFA56B"/>
    <w:rsid w:val="72FE395E"/>
    <w:rsid w:val="757BE5E9"/>
    <w:rsid w:val="76E79DCD"/>
    <w:rsid w:val="76F700F2"/>
    <w:rsid w:val="776F6AA8"/>
    <w:rsid w:val="77CBE1B8"/>
    <w:rsid w:val="77CF89B2"/>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2025-01-02T18:06:00Z</dcterms:created>
  <dcterms:modified xsi:type="dcterms:W3CDTF">2026-10-29T15:05:47Z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