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5979F4D">
      <w:pPr>
        <w:jc w:val="center"/>
        <w:rPr>
          <w:rFonts w:hint="eastAsia"/>
        </w:rPr>
      </w:pPr>
      <w:r>
        <w:rPr>
          <w:rFonts w:hint="eastAsia"/>
        </w:rPr>
        <w:t>基于节能环保理念的道路,机场与桥隧工程绿色施工技术的应用实践</w:t>
      </w:r>
    </w:p>
    <w:p w14:paraId="548FE9B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p w14:paraId="1CD7DFE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摘要：</w:t>
      </w:r>
      <w:r>
        <w:rPr>
          <w:rFonts w:hint="eastAsia"/>
        </w:rPr>
        <w:t>在“双碳”目标之下，交通基础设施施工阶段资源浪费和排放问题越来越被关注。本文在节能环保的理念下整理道路、机场、桥隧三大工程绿色施工技术体系，以福银高速、北京大兴国际机场、太原武宿国际机场、贵州旧屋基隧道等工程的实测数据为基础，对温拌沥青、再生利用、光伏供电、装配化施工、智能照明等绿色施工技术的节能减排情况进行量化的分析。经过计算可知，温拌沥青可使生产能耗下降15.6%，碳排放下降16.47%，装配化、组合结构使桥梁混凝土用量减少60%，施工能耗降低30%；隧道施工方案改进后碳排放量下降25.43%。绿色施工技术在资源节约、污染减排以及成本控制上取得明显效果，可以给类似工程提供一定的参考。</w:t>
      </w:r>
    </w:p>
    <w:p w14:paraId="26B4110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关键词：节能环保；绿色施工；道路工程；机场工程；桥隧工程；节能减排</w:t>
      </w:r>
    </w:p>
    <w:p w14:paraId="1E61BEC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0 引言</w:t>
      </w:r>
    </w:p>
    <w:p w14:paraId="798EF9C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交通运输业属于能源消耗、碳排放的大户。伴随着我国公路、机场、桥隧工程建设规模的不断扩大，施工期间材料浪费、机械用油量大、扬尘噪声大、废水排放量多的问题也愈加严重。在保证工程质量、安全的前提下，按照《绿色施工导则》和交通运输部关于开展绿色公路建设的意见，用科学管理、技术进步的方式尽可能节约资源，减少施工对环境的影响。</w:t>
      </w:r>
    </w:p>
    <w:p w14:paraId="5D6EADB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绿色施工包含四个方面的节约和环保，即节能、节地、节水、节材以及环境保护。黄学文等对公路节能降碳技术的实施效果进行分析，刘学欣等就城镇密集区公路桥群工业化建造进行总结，陈鑫磊等用碳排放评价来对超小净距隧道施工方案进行了优化</w:t>
      </w:r>
      <w:r>
        <w:rPr>
          <w:rFonts w:hint="eastAsia"/>
          <w:vertAlign w:val="superscript"/>
        </w:rPr>
        <w:t>[1]</w:t>
      </w:r>
      <w:r>
        <w:rPr>
          <w:rFonts w:hint="eastAsia"/>
        </w:rPr>
        <w:t>。目前的研究大多集中于单一工程类型上，把道路、机场和桥隧统一起来，用实测数据进行比较的成果很少</w:t>
      </w:r>
      <w:r>
        <w:rPr>
          <w:rFonts w:hint="eastAsia"/>
          <w:vertAlign w:val="superscript"/>
        </w:rPr>
        <w:t>[2]</w:t>
      </w:r>
      <w:r>
        <w:rPr>
          <w:rFonts w:hint="eastAsia"/>
        </w:rPr>
        <w:t>。因此本研究建立涵盖三种工程的绿色施工技术体系，以大量的工程真实数据为依据，对各项关键技术的节能环保作用进行定量评价，为交通基础设施绿色建造提供参考</w:t>
      </w:r>
      <w:r>
        <w:rPr>
          <w:rFonts w:hint="eastAsia"/>
          <w:vertAlign w:val="superscript"/>
        </w:rPr>
        <w:t>[3]</w:t>
      </w:r>
      <w:r>
        <w:rPr>
          <w:rFonts w:hint="eastAsia"/>
        </w:rPr>
        <w:t>。</w:t>
      </w:r>
    </w:p>
    <w:p w14:paraId="3EF4DC1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1 绿色施工技术体系框架</w:t>
      </w:r>
    </w:p>
    <w:p w14:paraId="1850AC69">
      <w:pPr>
        <w:keepNext w:val="0"/>
        <w:keepLines w:val="0"/>
        <w:pageBreakBefore w:val="0"/>
        <w:widowControl w:val="0"/>
        <w:kinsoku/>
        <w:wordWrap/>
        <w:overflowPunct/>
        <w:topLinePunct w:val="0"/>
        <w:autoSpaceDE/>
        <w:autoSpaceDN/>
        <w:bidi w:val="0"/>
        <w:adjustRightInd/>
        <w:snapToGrid/>
        <w:ind w:firstLine="420" w:firstLineChars="200"/>
        <w:jc w:val="both"/>
        <w:textAlignment w:val="auto"/>
      </w:pPr>
      <w:r>
        <w:rPr>
          <w:rFonts w:hint="eastAsia"/>
        </w:rPr>
        <w:t>交通基础设施绿色施工不是单个技术的简单组合，它是以节能环保思想作为统帅，在施工准备、施工实施和施工后进行的全过程各个方面的施工。本文从“理念-领域-技术-管理”四个层次来创建道路、机场和桥梁隧道工程绿色施工技术体系，图1为技术体系图。</w:t>
      </w:r>
    </w:p>
    <w:p w14:paraId="34A4FDE1">
      <w:pPr>
        <w:keepNext w:val="0"/>
        <w:keepLines w:val="0"/>
        <w:pageBreakBefore w:val="0"/>
        <w:widowControl w:val="0"/>
        <w:kinsoku/>
        <w:wordWrap/>
        <w:overflowPunct/>
        <w:topLinePunct w:val="0"/>
        <w:autoSpaceDE/>
        <w:autoSpaceDN/>
        <w:bidi w:val="0"/>
        <w:adjustRightInd/>
        <w:snapToGrid/>
        <w:jc w:val="center"/>
        <w:textAlignment w:val="auto"/>
      </w:pPr>
      <w:r>
        <w:drawing>
          <wp:inline distT="0" distB="0" distL="114300" distR="114300">
            <wp:extent cx="4171950" cy="3070225"/>
            <wp:effectExtent l="0" t="0" r="381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xmlns:r="http://schemas.openxmlformats.org/officeDocument/2006/relationships" r:embed="rId4"/>
                    <a:srcRect l="5257" t="3280" r="5198" b="4525"/>
                    <a:stretch>
                      <a:fillRect/>
                    </a:stretch>
                  </pic:blipFill>
                  <pic:spPr>
                    <a:xfrm>
                      <a:off x="0" y="0"/>
                      <a:ext cx="4171950" cy="3070225"/>
                    </a:xfrm>
                    <a:prstGeom prst="rect">
                      <a:avLst/>
                    </a:prstGeom>
                  </pic:spPr>
                </pic:pic>
              </a:graphicData>
            </a:graphic>
          </wp:inline>
        </w:drawing>
      </w:r>
    </w:p>
    <w:p w14:paraId="5285670D">
      <w:pPr>
        <w:keepNext w:val="0"/>
        <w:keepLines w:val="0"/>
        <w:pageBreakBefore w:val="0"/>
        <w:widowControl w:val="0"/>
        <w:kinsoku/>
        <w:wordWrap/>
        <w:overflowPunct/>
        <w:topLinePunct w:val="0"/>
        <w:autoSpaceDE/>
        <w:autoSpaceDN/>
        <w:bidi w:val="0"/>
        <w:adjustRightInd/>
        <w:snapToGrid/>
        <w:jc w:val="center"/>
        <w:textAlignment w:val="auto"/>
        <w:rPr>
          <w:rFonts w:hint="eastAsia"/>
        </w:rPr>
      </w:pPr>
      <w:r>
        <w:rPr>
          <w:rFonts w:hint="eastAsia"/>
        </w:rPr>
        <w:t>图1 道路、机场与桥隧工程绿色施工技术体系框架</w:t>
      </w:r>
    </w:p>
    <w:p w14:paraId="6AF912F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道路工程以温拌沥青、旧路面材料再生(RAP)和工业固废基层资源化为手段，以沥青拌和温度降低、材料隐含碳为重心；机场工程以光伏发电为主，采用装配式道面和LED助航照明，提高可再生能源利用率，加快工业化建造；桥隧工程以装配化建造、隧道智能照明及弃渣再生利用为要点，重点控制高能耗工序及土石方排放。三类工程共性扬尘控制、噪声防治、废水回用、节水节能、智慧管理全寿命周期绿色施工管理统一执行。</w:t>
      </w:r>
    </w:p>
    <w:p w14:paraId="054DD22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拌和站料仓设自动降尘喷雾系统，颗粒物浓度大于150μg/m3时自动喷淋，冲洗废水经过三级沉淀池、砂石分离机、压滤机处理后循环使用，生产污水近零排放，抑制扬尘的同时也降低新鲜水耗。</w:t>
      </w:r>
    </w:p>
    <w:p w14:paraId="78E294C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2 道路工程绿色施工技术应用</w:t>
      </w:r>
    </w:p>
    <w:p w14:paraId="5CC3E72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2.1 温拌沥青与再生利用</w:t>
      </w:r>
    </w:p>
    <w:p w14:paraId="4349606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沥青路面是道路工程中能耗、排放最大的部分。传统热拌沥青混合料的集料需加热到160℃以上进行拌和、摊铺，耗油量大，烟尘排放多。温拌沥青技术用温拌剂或者发泡工艺把混合料在低于热拌工艺15到30摄氏度的环境下拌和和碾压，但是路用性能仍然可以达到热拌水平。在福建福银高速三明段改扩建工程中，同步使用温拌工艺和厂拌热再生技术，旧沥青路面材料（RAP）掺量达到45%，2025年底施工消耗旧料超9万吨，施工成本降低20%以上，由于生产施工温度比以往低15～30℃，因此能耗和温室气体排放都降低了15%以上。</w:t>
      </w:r>
    </w:p>
    <w:p w14:paraId="2B8F401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2.2 工业固废资源化</w:t>
      </w:r>
    </w:p>
    <w:p w14:paraId="61409D2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将工业固废转变成道路材料，可以削减材料的隐含碳，又可以减少占用土地。新疆某高速公路采用磷石膏基水稳基层单公里消纳磷石膏约400吨，节约水泥约100吨，减少碳排放约120吨，全标段消纳固废约50万吨。陕西推广隧道弃渣规模化利用，对隧道弃渣进行加工代替土方碎石使用，累计节省运输柴油约2750.22万升，折算成标准煤约为3.37万吨，共减排二氧化碳约8.49万吨。</w:t>
      </w:r>
    </w:p>
    <w:p w14:paraId="1190650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2.3 道路绿色施工数据汇总</w:t>
      </w:r>
    </w:p>
    <w:p w14:paraId="4421E62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为了便于横向比较，表1给出了道路工程常见绿色施工技术的实测节能减排数据。</w:t>
      </w:r>
    </w:p>
    <w:p w14:paraId="0B75C3A3">
      <w:pPr>
        <w:keepNext w:val="0"/>
        <w:keepLines w:val="0"/>
        <w:pageBreakBefore w:val="0"/>
        <w:widowControl w:val="0"/>
        <w:kinsoku/>
        <w:wordWrap/>
        <w:overflowPunct/>
        <w:topLinePunct w:val="0"/>
        <w:autoSpaceDE/>
        <w:autoSpaceDN/>
        <w:bidi w:val="0"/>
        <w:adjustRightInd/>
        <w:snapToGrid/>
        <w:jc w:val="center"/>
        <w:textAlignment w:val="auto"/>
        <w:rPr>
          <w:rFonts w:hint="eastAsia"/>
        </w:rPr>
      </w:pPr>
      <w:r>
        <w:rPr>
          <w:rFonts w:hint="eastAsia"/>
        </w:rPr>
        <w:t>表1 道路工程典型绿色施工技术节能减排实测数据</w:t>
      </w:r>
    </w:p>
    <w:tbl>
      <w:tblPr>
        <w:tblStyle w:val="TableNormal"/>
        <w:tblW w:w="8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1730"/>
        <w:gridCol w:w="1943"/>
        <w:gridCol w:w="2268"/>
        <w:gridCol w:w="2268"/>
      </w:tblGrid>
      <w:tr w14:paraId="34BB5DFE">
        <w:tblPrEx>
          <w:tblW w:w="8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rPr>
          <w:cantSplit/>
          <w:tblHeader/>
          <w:jc w:val="center"/>
        </w:trPr>
        <w:tc>
          <w:tcPr>
            <w:tcW w:w="1730" w:type="dxa"/>
            <w:tcBorders>
              <w:top w:val="single" w:sz="4" w:space="0" w:color="000000"/>
              <w:left w:val="single" w:sz="4" w:space="0" w:color="000000"/>
              <w:bottom w:val="single" w:sz="4" w:space="0" w:color="000000"/>
              <w:right w:val="single" w:sz="4" w:space="0" w:color="000000"/>
              <w:tl2br w:val="nil"/>
            </w:tcBorders>
            <w:shd w:val="clear" w:color="auto" w:fill="FFFFFF"/>
            <w:vAlign w:val="center"/>
          </w:tcPr>
          <w:p w14:paraId="72E4C3F4">
            <w:pPr>
              <w:spacing w:before="40" w:after="40" w:line="240" w:lineRule="auto"/>
              <w:ind w:firstLine="0"/>
              <w:jc w:val="center"/>
              <w:rPr>
                <w:b w:val="0"/>
                <w:color w:val="000000"/>
              </w:rPr>
            </w:pPr>
            <w:r>
              <w:rPr>
                <w:rFonts w:ascii="Times New Roman" w:eastAsia="宋体" w:hAnsi="Times New Roman"/>
                <w:b w:val="0"/>
                <w:color w:val="000000"/>
                <w:sz w:val="18"/>
              </w:rPr>
              <w:t>技术类型</w:t>
            </w:r>
          </w:p>
        </w:tc>
        <w:tc>
          <w:tcPr>
            <w:tcW w:w="19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140DAF">
            <w:pPr>
              <w:spacing w:before="40" w:after="40" w:line="240" w:lineRule="auto"/>
              <w:ind w:firstLine="0"/>
              <w:jc w:val="center"/>
              <w:rPr>
                <w:b w:val="0"/>
                <w:color w:val="000000"/>
              </w:rPr>
            </w:pPr>
            <w:r>
              <w:rPr>
                <w:rFonts w:ascii="Times New Roman" w:eastAsia="宋体" w:hAnsi="Times New Roman"/>
                <w:b w:val="0"/>
                <w:color w:val="000000"/>
                <w:sz w:val="18"/>
              </w:rPr>
              <w:t>应用工程</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C793A0">
            <w:pPr>
              <w:spacing w:before="40" w:after="40" w:line="240" w:lineRule="auto"/>
              <w:ind w:firstLine="0"/>
              <w:jc w:val="center"/>
              <w:rPr>
                <w:b w:val="0"/>
                <w:color w:val="000000"/>
              </w:rPr>
            </w:pPr>
            <w:r>
              <w:rPr>
                <w:rFonts w:ascii="Times New Roman" w:eastAsia="宋体" w:hAnsi="Times New Roman"/>
                <w:b w:val="0"/>
                <w:color w:val="000000"/>
                <w:sz w:val="18"/>
              </w:rPr>
              <w:t>关键指标</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30D509">
            <w:pPr>
              <w:spacing w:before="40" w:after="40" w:line="240" w:lineRule="auto"/>
              <w:ind w:firstLine="0"/>
              <w:jc w:val="center"/>
              <w:rPr>
                <w:b w:val="0"/>
                <w:color w:val="000000"/>
              </w:rPr>
            </w:pPr>
            <w:r>
              <w:rPr>
                <w:rFonts w:ascii="Times New Roman" w:eastAsia="宋体" w:hAnsi="Times New Roman"/>
                <w:b w:val="0"/>
                <w:color w:val="000000"/>
                <w:sz w:val="18"/>
              </w:rPr>
              <w:t>实测效果</w:t>
            </w:r>
          </w:p>
        </w:tc>
      </w:tr>
      <w:tr w14:paraId="5FF76646">
        <w:tblPrEx>
          <w:tblW w:w="8209" w:type="dxa"/>
          <w:jc w:val="center"/>
          <w:tblLayout w:type="fixed"/>
          <w:tblCellMar>
            <w:top w:w="0" w:type="dxa"/>
            <w:left w:w="108" w:type="dxa"/>
            <w:bottom w:w="0" w:type="dxa"/>
            <w:right w:w="108" w:type="dxa"/>
          </w:tblCellMar>
        </w:tblPrEx>
        <w:trPr>
          <w:cantSplit/>
          <w:jc w:val="center"/>
        </w:trPr>
        <w:tc>
          <w:tcPr>
            <w:tcW w:w="17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FE7326">
            <w:pPr>
              <w:spacing w:before="40" w:after="40" w:line="240" w:lineRule="auto"/>
              <w:ind w:firstLine="0"/>
              <w:jc w:val="center"/>
              <w:rPr>
                <w:b w:val="0"/>
                <w:color w:val="000000"/>
              </w:rPr>
            </w:pPr>
            <w:r>
              <w:rPr>
                <w:rFonts w:ascii="Times New Roman" w:eastAsia="宋体" w:hAnsi="Times New Roman"/>
                <w:b w:val="0"/>
                <w:color w:val="000000"/>
                <w:sz w:val="18"/>
              </w:rPr>
              <w:t>温拌厂拌热再生</w:t>
            </w:r>
          </w:p>
        </w:tc>
        <w:tc>
          <w:tcPr>
            <w:tcW w:w="19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CE842A">
            <w:pPr>
              <w:spacing w:before="40" w:after="40" w:line="240" w:lineRule="auto"/>
              <w:ind w:firstLine="0"/>
              <w:jc w:val="left"/>
              <w:rPr>
                <w:b w:val="0"/>
                <w:color w:val="000000"/>
              </w:rPr>
            </w:pPr>
            <w:r>
              <w:rPr>
                <w:rFonts w:ascii="Times New Roman" w:eastAsia="宋体" w:hAnsi="Times New Roman"/>
                <w:b w:val="0"/>
                <w:color w:val="000000"/>
                <w:sz w:val="18"/>
              </w:rPr>
              <w:t>福银高速三明段</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5783B4">
            <w:pPr>
              <w:spacing w:before="40" w:after="40" w:line="240" w:lineRule="auto"/>
              <w:ind w:firstLine="0"/>
              <w:jc w:val="left"/>
              <w:rPr>
                <w:b w:val="0"/>
                <w:color w:val="000000"/>
              </w:rPr>
            </w:pPr>
            <w:r>
              <w:rPr>
                <w:rFonts w:ascii="Times New Roman" w:eastAsia="宋体" w:hAnsi="Times New Roman"/>
                <w:b w:val="0"/>
                <w:color w:val="000000"/>
                <w:sz w:val="18"/>
              </w:rPr>
              <w:t>旧料掺量／施工温度</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11D256">
            <w:pPr>
              <w:spacing w:before="40" w:after="40" w:line="240" w:lineRule="auto"/>
              <w:ind w:firstLine="0"/>
              <w:jc w:val="left"/>
              <w:rPr>
                <w:b w:val="0"/>
                <w:color w:val="000000"/>
              </w:rPr>
            </w:pPr>
            <w:r>
              <w:rPr>
                <w:rFonts w:ascii="Times New Roman" w:eastAsia="宋体" w:hAnsi="Times New Roman"/>
                <w:b w:val="0"/>
                <w:color w:val="000000"/>
                <w:sz w:val="18"/>
              </w:rPr>
              <w:t>45%／降低15～30℃</w:t>
            </w:r>
          </w:p>
        </w:tc>
      </w:tr>
      <w:tr w14:paraId="63D53AFE">
        <w:tblPrEx>
          <w:tblW w:w="8209" w:type="dxa"/>
          <w:jc w:val="center"/>
          <w:tblLayout w:type="fixed"/>
          <w:tblCellMar>
            <w:top w:w="0" w:type="dxa"/>
            <w:left w:w="108" w:type="dxa"/>
            <w:bottom w:w="0" w:type="dxa"/>
            <w:right w:w="108" w:type="dxa"/>
          </w:tblCellMar>
        </w:tblPrEx>
        <w:trPr>
          <w:cantSplit/>
          <w:jc w:val="center"/>
        </w:trPr>
        <w:tc>
          <w:tcPr>
            <w:tcW w:w="17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0878E4">
            <w:pPr>
              <w:spacing w:before="40" w:after="40" w:line="240" w:lineRule="auto"/>
              <w:ind w:firstLine="0"/>
              <w:jc w:val="center"/>
              <w:rPr>
                <w:b w:val="0"/>
                <w:color w:val="000000"/>
              </w:rPr>
            </w:pPr>
            <w:r>
              <w:rPr>
                <w:rFonts w:ascii="Times New Roman" w:eastAsia="宋体" w:hAnsi="Times New Roman"/>
                <w:b w:val="0"/>
                <w:color w:val="000000"/>
                <w:sz w:val="18"/>
              </w:rPr>
              <w:t>温拌厂拌热再生</w:t>
            </w:r>
          </w:p>
        </w:tc>
        <w:tc>
          <w:tcPr>
            <w:tcW w:w="19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7B872C">
            <w:pPr>
              <w:spacing w:before="40" w:after="40" w:line="240" w:lineRule="auto"/>
              <w:ind w:firstLine="0"/>
              <w:jc w:val="left"/>
              <w:rPr>
                <w:b w:val="0"/>
                <w:color w:val="000000"/>
              </w:rPr>
            </w:pPr>
            <w:r>
              <w:rPr>
                <w:rFonts w:ascii="Times New Roman" w:eastAsia="宋体" w:hAnsi="Times New Roman"/>
                <w:b w:val="0"/>
                <w:color w:val="000000"/>
                <w:sz w:val="18"/>
              </w:rPr>
              <w:t>福银高速三明段</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A489D3">
            <w:pPr>
              <w:spacing w:before="40" w:after="40" w:line="240" w:lineRule="auto"/>
              <w:ind w:firstLine="0"/>
              <w:jc w:val="left"/>
              <w:rPr>
                <w:b w:val="0"/>
                <w:color w:val="000000"/>
              </w:rPr>
            </w:pPr>
            <w:r>
              <w:rPr>
                <w:rFonts w:ascii="Times New Roman" w:eastAsia="宋体" w:hAnsi="Times New Roman"/>
                <w:b w:val="0"/>
                <w:color w:val="000000"/>
                <w:sz w:val="18"/>
              </w:rPr>
              <w:t>能耗与温室气体排放</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1B4F8C">
            <w:pPr>
              <w:spacing w:before="40" w:after="40" w:line="240" w:lineRule="auto"/>
              <w:ind w:firstLine="0"/>
              <w:jc w:val="left"/>
              <w:rPr>
                <w:b w:val="0"/>
                <w:color w:val="000000"/>
              </w:rPr>
            </w:pPr>
            <w:r>
              <w:rPr>
                <w:rFonts w:ascii="Times New Roman" w:eastAsia="宋体" w:hAnsi="Times New Roman"/>
                <w:b w:val="0"/>
                <w:color w:val="000000"/>
                <w:sz w:val="18"/>
              </w:rPr>
              <w:t>均降低15%以上</w:t>
            </w:r>
          </w:p>
        </w:tc>
      </w:tr>
      <w:tr w14:paraId="2189BCA0">
        <w:tblPrEx>
          <w:tblW w:w="8209" w:type="dxa"/>
          <w:jc w:val="center"/>
          <w:tblLayout w:type="fixed"/>
          <w:tblCellMar>
            <w:top w:w="0" w:type="dxa"/>
            <w:left w:w="108" w:type="dxa"/>
            <w:bottom w:w="0" w:type="dxa"/>
            <w:right w:w="108" w:type="dxa"/>
          </w:tblCellMar>
        </w:tblPrEx>
        <w:trPr>
          <w:cantSplit/>
          <w:jc w:val="center"/>
        </w:trPr>
        <w:tc>
          <w:tcPr>
            <w:tcW w:w="17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5ACF31">
            <w:pPr>
              <w:spacing w:before="40" w:after="40" w:line="240" w:lineRule="auto"/>
              <w:ind w:firstLine="0"/>
              <w:jc w:val="center"/>
              <w:rPr>
                <w:b w:val="0"/>
                <w:color w:val="000000"/>
              </w:rPr>
            </w:pPr>
            <w:r>
              <w:rPr>
                <w:rFonts w:ascii="Times New Roman" w:eastAsia="宋体" w:hAnsi="Times New Roman"/>
                <w:b w:val="0"/>
                <w:color w:val="000000"/>
                <w:sz w:val="18"/>
              </w:rPr>
              <w:t>磷石膏水稳基层</w:t>
            </w:r>
          </w:p>
        </w:tc>
        <w:tc>
          <w:tcPr>
            <w:tcW w:w="19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207283">
            <w:pPr>
              <w:spacing w:before="40" w:after="40" w:line="240" w:lineRule="auto"/>
              <w:ind w:firstLine="0"/>
              <w:jc w:val="left"/>
              <w:rPr>
                <w:b w:val="0"/>
                <w:color w:val="000000"/>
              </w:rPr>
            </w:pPr>
            <w:r>
              <w:rPr>
                <w:rFonts w:ascii="Times New Roman" w:eastAsia="宋体" w:hAnsi="Times New Roman"/>
                <w:b w:val="0"/>
                <w:color w:val="000000"/>
                <w:sz w:val="18"/>
              </w:rPr>
              <w:t>新疆某高速公路</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08E475">
            <w:pPr>
              <w:spacing w:before="40" w:after="40" w:line="240" w:lineRule="auto"/>
              <w:ind w:firstLine="0"/>
              <w:jc w:val="left"/>
              <w:rPr>
                <w:b w:val="0"/>
                <w:color w:val="000000"/>
              </w:rPr>
            </w:pPr>
            <w:r>
              <w:rPr>
                <w:rFonts w:ascii="Times New Roman" w:eastAsia="宋体" w:hAnsi="Times New Roman"/>
                <w:b w:val="0"/>
                <w:color w:val="000000"/>
                <w:sz w:val="18"/>
              </w:rPr>
              <w:t>单公里消纳磷石膏／减碳</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0E1FFC">
            <w:pPr>
              <w:spacing w:before="40" w:after="40" w:line="240" w:lineRule="auto"/>
              <w:ind w:firstLine="0"/>
              <w:jc w:val="left"/>
              <w:rPr>
                <w:b w:val="0"/>
                <w:color w:val="000000"/>
              </w:rPr>
            </w:pPr>
            <w:r>
              <w:rPr>
                <w:rFonts w:ascii="Times New Roman" w:eastAsia="宋体" w:hAnsi="Times New Roman"/>
                <w:b w:val="0"/>
                <w:color w:val="000000"/>
                <w:sz w:val="18"/>
              </w:rPr>
              <w:t>约400吨／约120吨</w:t>
            </w:r>
          </w:p>
        </w:tc>
      </w:tr>
      <w:tr w14:paraId="30D5489A">
        <w:tblPrEx>
          <w:tblW w:w="8209" w:type="dxa"/>
          <w:jc w:val="center"/>
          <w:tblLayout w:type="fixed"/>
          <w:tblCellMar>
            <w:top w:w="0" w:type="dxa"/>
            <w:left w:w="108" w:type="dxa"/>
            <w:bottom w:w="0" w:type="dxa"/>
            <w:right w:w="108" w:type="dxa"/>
          </w:tblCellMar>
        </w:tblPrEx>
        <w:trPr>
          <w:cantSplit/>
          <w:jc w:val="center"/>
        </w:trPr>
        <w:tc>
          <w:tcPr>
            <w:tcW w:w="17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3BA6B7">
            <w:pPr>
              <w:spacing w:before="40" w:after="40" w:line="240" w:lineRule="auto"/>
              <w:ind w:firstLine="0"/>
              <w:jc w:val="center"/>
              <w:rPr>
                <w:b w:val="0"/>
                <w:color w:val="000000"/>
              </w:rPr>
            </w:pPr>
            <w:r>
              <w:rPr>
                <w:rFonts w:ascii="Times New Roman" w:eastAsia="宋体" w:hAnsi="Times New Roman"/>
                <w:b w:val="0"/>
                <w:color w:val="000000"/>
                <w:sz w:val="18"/>
              </w:rPr>
              <w:t>磷石膏水稳基层</w:t>
            </w:r>
          </w:p>
        </w:tc>
        <w:tc>
          <w:tcPr>
            <w:tcW w:w="19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0A560B">
            <w:pPr>
              <w:spacing w:before="40" w:after="40" w:line="240" w:lineRule="auto"/>
              <w:ind w:firstLine="0"/>
              <w:jc w:val="left"/>
              <w:rPr>
                <w:b w:val="0"/>
                <w:color w:val="000000"/>
              </w:rPr>
            </w:pPr>
            <w:r>
              <w:rPr>
                <w:rFonts w:ascii="Times New Roman" w:eastAsia="宋体" w:hAnsi="Times New Roman"/>
                <w:b w:val="0"/>
                <w:color w:val="000000"/>
                <w:sz w:val="18"/>
              </w:rPr>
              <w:t>新疆某高速公路</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E2B913">
            <w:pPr>
              <w:spacing w:before="40" w:after="40" w:line="240" w:lineRule="auto"/>
              <w:ind w:firstLine="0"/>
              <w:jc w:val="left"/>
              <w:rPr>
                <w:b w:val="0"/>
                <w:color w:val="000000"/>
              </w:rPr>
            </w:pPr>
            <w:r>
              <w:rPr>
                <w:rFonts w:ascii="Times New Roman" w:eastAsia="宋体" w:hAnsi="Times New Roman"/>
                <w:b w:val="0"/>
                <w:color w:val="000000"/>
                <w:sz w:val="18"/>
              </w:rPr>
              <w:t>全标段消纳固废</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EEA210">
            <w:pPr>
              <w:spacing w:before="40" w:after="40" w:line="240" w:lineRule="auto"/>
              <w:ind w:firstLine="0"/>
              <w:jc w:val="left"/>
              <w:rPr>
                <w:b w:val="0"/>
                <w:color w:val="000000"/>
              </w:rPr>
            </w:pPr>
            <w:r>
              <w:rPr>
                <w:rFonts w:ascii="Times New Roman" w:eastAsia="宋体" w:hAnsi="Times New Roman"/>
                <w:b w:val="0"/>
                <w:color w:val="000000"/>
                <w:sz w:val="18"/>
              </w:rPr>
              <w:t>约50万吨</w:t>
            </w:r>
          </w:p>
        </w:tc>
      </w:tr>
      <w:tr w14:paraId="55AB24AF">
        <w:tblPrEx>
          <w:tblW w:w="8209" w:type="dxa"/>
          <w:jc w:val="center"/>
          <w:tblLayout w:type="fixed"/>
          <w:tblCellMar>
            <w:top w:w="0" w:type="dxa"/>
            <w:left w:w="108" w:type="dxa"/>
            <w:bottom w:w="0" w:type="dxa"/>
            <w:right w:w="108" w:type="dxa"/>
          </w:tblCellMar>
        </w:tblPrEx>
        <w:trPr>
          <w:cantSplit/>
          <w:jc w:val="center"/>
        </w:trPr>
        <w:tc>
          <w:tcPr>
            <w:tcW w:w="17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25394C">
            <w:pPr>
              <w:spacing w:before="40" w:after="40" w:line="240" w:lineRule="auto"/>
              <w:ind w:firstLine="0"/>
              <w:jc w:val="center"/>
              <w:rPr>
                <w:b w:val="0"/>
                <w:color w:val="000000"/>
              </w:rPr>
            </w:pPr>
            <w:r>
              <w:rPr>
                <w:rFonts w:ascii="Times New Roman" w:eastAsia="宋体" w:hAnsi="Times New Roman"/>
                <w:b w:val="0"/>
                <w:color w:val="000000"/>
                <w:sz w:val="18"/>
              </w:rPr>
              <w:t>隧道弃渣利用</w:t>
            </w:r>
          </w:p>
        </w:tc>
        <w:tc>
          <w:tcPr>
            <w:tcW w:w="19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BDA220">
            <w:pPr>
              <w:spacing w:before="40" w:after="40" w:line="240" w:lineRule="auto"/>
              <w:ind w:firstLine="0"/>
              <w:jc w:val="left"/>
              <w:rPr>
                <w:b w:val="0"/>
                <w:color w:val="000000"/>
              </w:rPr>
            </w:pPr>
            <w:r>
              <w:rPr>
                <w:rFonts w:ascii="Times New Roman" w:eastAsia="宋体" w:hAnsi="Times New Roman"/>
                <w:b w:val="0"/>
                <w:color w:val="000000"/>
                <w:sz w:val="18"/>
              </w:rPr>
              <w:t>陕西公路工程</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77FAD7">
            <w:pPr>
              <w:spacing w:before="40" w:after="40" w:line="240" w:lineRule="auto"/>
              <w:ind w:firstLine="0"/>
              <w:jc w:val="left"/>
              <w:rPr>
                <w:b w:val="0"/>
                <w:color w:val="000000"/>
              </w:rPr>
            </w:pPr>
            <w:r>
              <w:rPr>
                <w:rFonts w:ascii="Times New Roman" w:eastAsia="宋体" w:hAnsi="Times New Roman"/>
                <w:b w:val="0"/>
                <w:color w:val="000000"/>
                <w:sz w:val="18"/>
              </w:rPr>
              <w:t>节约柴油／减少CO2</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753CD9">
            <w:pPr>
              <w:spacing w:before="40" w:after="40" w:line="240" w:lineRule="auto"/>
              <w:ind w:firstLine="0"/>
              <w:jc w:val="left"/>
              <w:rPr>
                <w:b w:val="0"/>
                <w:color w:val="000000"/>
              </w:rPr>
            </w:pPr>
            <w:r>
              <w:rPr>
                <w:rFonts w:ascii="Times New Roman" w:eastAsia="宋体" w:hAnsi="Times New Roman"/>
                <w:b w:val="0"/>
                <w:color w:val="000000"/>
                <w:sz w:val="18"/>
              </w:rPr>
              <w:t>约2750万升／约8.49万吨</w:t>
            </w:r>
          </w:p>
        </w:tc>
      </w:tr>
    </w:tbl>
    <w:p w14:paraId="06C1908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3 机场工程绿色施工技术应用</w:t>
      </w:r>
    </w:p>
    <w:p w14:paraId="14BD098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3.1 可再生能源供能</w:t>
      </w:r>
    </w:p>
    <w:p w14:paraId="663AB7E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机场占地面积大、用电量大，适合布置光伏。太原武宿机场三期改扩建工程年平均日照时数约为2500小时左右，航站楼屋顶、飞行区及停车场铺设光伏约51万平方米，总装机容量为109兆瓦，年发电量约为1.2亿千瓦时，采用储能和地热系统，实现供电主要自给，解决了飞行区光伏防眩光、抗尾流的技术难题。</w:t>
      </w:r>
    </w:p>
    <w:p w14:paraId="4E5D093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3.2 节能建筑与装配式道面</w:t>
      </w:r>
    </w:p>
    <w:p w14:paraId="68C0901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北京大兴机场航站楼利用自然采光、自然通风、地源热泵和光伏发电相结合的设计，单位面积能耗小于29.51千克标准煤每平方米，比国家公共建筑节能标准提高约30%左右，每年减少二氧化碳排放量大于2.2万吨，全场使用可再生能源占总能耗比例大于16%。广州白云机场三期扩建工程采用大量的LED助航灯、新能源汽车及灯光站自动巡检系统，在投运后每年可以节约的能耗成本达到300万以上；装配式道面及滑行道桥的使用减少了建筑垃圾1.2万吨以上，节约了垃圾处理费用超过60万元，雨水回收、中水利用系统使新鲜水耗进一步降低。</w:t>
      </w:r>
    </w:p>
    <w:p w14:paraId="1792897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3.3 道面材料再生</w:t>
      </w:r>
    </w:p>
    <w:p w14:paraId="2DB0A36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机场道面的改建扩建也有大量的旧料处理工作。田雨等[5]的研究表明，用废轮胎裂解炭黑制成的胶团改性再生沥青可以提高机场道面再生沥青性能，给废旧轮胎和旧道面材料的综合利用提供新的思路。国外工程实践证明再生材料占85%以上的时候，机场道面施工可以减少约35%的排放，道面性能与常规道面相当。</w:t>
      </w:r>
    </w:p>
    <w:p w14:paraId="316B5D1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4 桥隧工程绿色施工技术应用</w:t>
      </w:r>
    </w:p>
    <w:p w14:paraId="370199E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4.1 桥梁装配化与组合结构</w:t>
      </w:r>
    </w:p>
    <w:p w14:paraId="7CC84EA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桥梁工程采用构件工厂预制、现场拼装的方式，可以大幅削减现场湿作业以及污染排放。市政道路桥梁工程墩柱、盖梁、箱梁及人行道板全部在工厂预制、现场拼装，预制率为85%，现场湿作业减少大约60%，施工工期缩短约40%。四川某入城段桥梁使用密梁式型钢混凝土组合结构，与传统混凝土桥相比，混凝土用量可节约60%，施工用电、用油能源消耗减少约30%，总碳排放减少16万吨。预制构件生产过程中采用智能温控养护技术可以达到温湿度双控的效果，单个产品碳排放量减少约18%，节约蒸汽和水资源。</w:t>
      </w:r>
    </w:p>
    <w:p w14:paraId="6B46FA1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4.2 隧道温拌沥青路面</w:t>
      </w:r>
    </w:p>
    <w:p w14:paraId="5CE431F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隧道空间封闭、通风不良，热拌沥青烟尘的热量不能排出，对作业人员健康构成严重危害。马选业[4]认为温拌改性沥青生产节能率为15.6%，生产一吨可以节省6.85元的材料费，并且碳排放减少16.47%。干法温拌SBS工艺施工时温度降低约20℃左右，烟尘排放量减少70%以上，成本下降60%。温拌和热拌关键指标对比图如图2所示。</w:t>
      </w:r>
    </w:p>
    <w:p w14:paraId="5C168A6E">
      <w:pPr>
        <w:keepNext w:val="0"/>
        <w:keepLines w:val="0"/>
        <w:pageBreakBefore w:val="0"/>
        <w:widowControl w:val="0"/>
        <w:kinsoku/>
        <w:wordWrap/>
        <w:overflowPunct/>
        <w:topLinePunct w:val="0"/>
        <w:autoSpaceDE/>
        <w:autoSpaceDN/>
        <w:bidi w:val="0"/>
        <w:adjustRightInd/>
        <w:snapToGrid/>
        <w:jc w:val="center"/>
        <w:textAlignment w:val="auto"/>
      </w:pPr>
      <w:r>
        <w:drawing>
          <wp:inline distT="0" distB="0" distL="114300" distR="114300">
            <wp:extent cx="4859655" cy="2823845"/>
            <wp:effectExtent l="0" t="0" r="1905" b="1079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xmlns:r="http://schemas.openxmlformats.org/officeDocument/2006/relationships" r:embed="rId5"/>
                    <a:stretch>
                      <a:fillRect/>
                    </a:stretch>
                  </pic:blipFill>
                  <pic:spPr>
                    <a:xfrm>
                      <a:off x="0" y="0"/>
                      <a:ext cx="4860000" cy="2823973"/>
                    </a:xfrm>
                    <a:prstGeom prst="rect">
                      <a:avLst/>
                    </a:prstGeom>
                  </pic:spPr>
                </pic:pic>
              </a:graphicData>
            </a:graphic>
          </wp:inline>
        </w:drawing>
      </w:r>
    </w:p>
    <w:p w14:paraId="4B673527">
      <w:pPr>
        <w:keepNext w:val="0"/>
        <w:keepLines w:val="0"/>
        <w:pageBreakBefore w:val="0"/>
        <w:widowControl w:val="0"/>
        <w:kinsoku/>
        <w:wordWrap/>
        <w:overflowPunct/>
        <w:topLinePunct w:val="0"/>
        <w:autoSpaceDE/>
        <w:autoSpaceDN/>
        <w:bidi w:val="0"/>
        <w:adjustRightInd/>
        <w:snapToGrid/>
        <w:jc w:val="center"/>
        <w:textAlignment w:val="auto"/>
        <w:rPr>
          <w:rFonts w:hint="eastAsia"/>
        </w:rPr>
      </w:pPr>
      <w:r>
        <w:rPr>
          <w:rFonts w:hint="eastAsia"/>
        </w:rPr>
        <w:t>图2 温拌与热拌沥青混合料关键指标对比</w:t>
      </w:r>
    </w:p>
    <w:p w14:paraId="4CB10FC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4.3 隧道照明与施工方案优化</w:t>
      </w:r>
    </w:p>
    <w:p w14:paraId="0FAD82A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隧道照明的能耗是运营阶段最大的。绿色公路项目所用的隧道照明全部为LED灯，与智能无级调光系统配合使用，根据洞外亮度以及行车的数据自行调节，防止出现过度照明的情况，比传统的高压钠灯节能30%以上。[3]在施工组织阶段，陈鑫磊等[3]对贵州旧屋基超小净距隧道开展绿色施工优化，把连拱方案改成分离式的超小净距方案，改良开挖方法，现场试验段工期提前15d，拱顶最大沉降值13.5mm，收敛最大值9.53mm，支护最大安全系数2.13；利用碳排放系数法计算出优化方案总碳排放量减少25.43%，节省的原材料带来的碳排放量减少30.14%。</w:t>
      </w:r>
    </w:p>
    <w:p w14:paraId="3204F8B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5 综合效益分析</w:t>
      </w:r>
    </w:p>
    <w:p w14:paraId="3CA21AC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5.1 节能环保效益</w:t>
      </w:r>
    </w:p>
    <w:p w14:paraId="1503089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经过对上述工程数据的综合分析可知，绿色施工技术节能、减排、资源循环有数据支持。图3给出了道路、机场、桥梁及隧道四个工程的主要指标对比图。</w:t>
      </w:r>
    </w:p>
    <w:p w14:paraId="528FB925">
      <w:pPr>
        <w:keepNext w:val="0"/>
        <w:keepLines w:val="0"/>
        <w:pageBreakBefore w:val="0"/>
        <w:widowControl w:val="0"/>
        <w:kinsoku/>
        <w:wordWrap/>
        <w:overflowPunct/>
        <w:topLinePunct w:val="0"/>
        <w:autoSpaceDE/>
        <w:autoSpaceDN/>
        <w:bidi w:val="0"/>
        <w:adjustRightInd/>
        <w:snapToGrid/>
        <w:jc w:val="center"/>
        <w:textAlignment w:val="auto"/>
      </w:pPr>
      <w:r>
        <w:drawing>
          <wp:inline distT="0" distB="0" distL="114300" distR="114300">
            <wp:extent cx="5399405" cy="2971800"/>
            <wp:effectExtent l="0" t="0" r="1079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xmlns:r="http://schemas.openxmlformats.org/officeDocument/2006/relationships" r:embed="rId6"/>
                    <a:stretch>
                      <a:fillRect/>
                    </a:stretch>
                  </pic:blipFill>
                  <pic:spPr>
                    <a:xfrm>
                      <a:off x="0" y="0"/>
                      <a:ext cx="5400000" cy="2971975"/>
                    </a:xfrm>
                    <a:prstGeom prst="rect">
                      <a:avLst/>
                    </a:prstGeom>
                  </pic:spPr>
                </pic:pic>
              </a:graphicData>
            </a:graphic>
          </wp:inline>
        </w:drawing>
      </w:r>
    </w:p>
    <w:p w14:paraId="2BB998F9">
      <w:pPr>
        <w:keepNext w:val="0"/>
        <w:keepLines w:val="0"/>
        <w:pageBreakBefore w:val="0"/>
        <w:widowControl w:val="0"/>
        <w:kinsoku/>
        <w:wordWrap/>
        <w:overflowPunct/>
        <w:topLinePunct w:val="0"/>
        <w:autoSpaceDE/>
        <w:autoSpaceDN/>
        <w:bidi w:val="0"/>
        <w:adjustRightInd/>
        <w:snapToGrid/>
        <w:jc w:val="center"/>
        <w:textAlignment w:val="auto"/>
        <w:rPr>
          <w:rFonts w:hint="eastAsia"/>
        </w:rPr>
      </w:pPr>
      <w:r>
        <w:rPr>
          <w:rFonts w:hint="eastAsia"/>
        </w:rPr>
        <w:t>图3 代表性工程绿色施工关键指标实测值</w:t>
      </w:r>
    </w:p>
    <w:p w14:paraId="7EC247A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从图3中可以发现各种工程节能率大多在15%-30%，道路旧料掺量达45%，桥梁混凝土用量减少60%，隧道碳排放降低约25%，资源循环利用率高，减排效果好。</w:t>
      </w:r>
    </w:p>
    <w:p w14:paraId="19FA227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5.2 经济与社会效益</w:t>
      </w:r>
    </w:p>
    <w:p w14:paraId="47132BA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绿色施工的节能降耗效益也使企业获得了经济上的收益。表2是对典型工程资源节约及成本收益的统计。</w:t>
      </w:r>
      <w:bookmarkStart w:id="0" w:name="_GoBack"/>
      <w:bookmarkEnd w:id="0"/>
    </w:p>
    <w:p w14:paraId="56DE912B">
      <w:pPr>
        <w:keepNext w:val="0"/>
        <w:keepLines w:val="0"/>
        <w:pageBreakBefore w:val="0"/>
        <w:widowControl w:val="0"/>
        <w:kinsoku/>
        <w:wordWrap/>
        <w:overflowPunct/>
        <w:topLinePunct w:val="0"/>
        <w:autoSpaceDE/>
        <w:autoSpaceDN/>
        <w:bidi w:val="0"/>
        <w:adjustRightInd/>
        <w:snapToGrid/>
        <w:jc w:val="center"/>
        <w:textAlignment w:val="auto"/>
        <w:rPr>
          <w:rFonts w:hint="eastAsia"/>
        </w:rPr>
      </w:pPr>
      <w:r>
        <w:rPr>
          <w:rFonts w:hint="eastAsia"/>
        </w:rPr>
        <w:t>表2 典型工程绿色施工资源节约与成本效益</w:t>
      </w:r>
    </w:p>
    <w:tbl>
      <w:tblPr>
        <w:tblStyle w:val="TableNormal"/>
        <w:tblW w:w="832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2281"/>
        <w:gridCol w:w="3024"/>
        <w:gridCol w:w="3024"/>
      </w:tblGrid>
      <w:tr w14:paraId="1C1000BE">
        <w:tblPrEx>
          <w:tblW w:w="832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rPr>
          <w:cantSplit/>
          <w:tblHeader/>
          <w:jc w:val="center"/>
        </w:trPr>
        <w:tc>
          <w:tcPr>
            <w:tcW w:w="2281" w:type="dxa"/>
            <w:tcBorders>
              <w:top w:val="single" w:sz="4" w:space="0" w:color="000000"/>
              <w:left w:val="single" w:sz="4" w:space="0" w:color="000000"/>
              <w:bottom w:val="single" w:sz="4" w:space="0" w:color="000000"/>
              <w:right w:val="single" w:sz="4" w:space="0" w:color="000000"/>
              <w:tl2br w:val="nil"/>
            </w:tcBorders>
            <w:shd w:val="clear" w:color="auto" w:fill="FFFFFF"/>
            <w:vAlign w:val="center"/>
          </w:tcPr>
          <w:p w14:paraId="60490458">
            <w:pPr>
              <w:spacing w:before="40" w:after="40" w:line="240" w:lineRule="auto"/>
              <w:ind w:firstLine="0"/>
              <w:jc w:val="center"/>
              <w:rPr>
                <w:b w:val="0"/>
                <w:color w:val="000000"/>
              </w:rPr>
            </w:pPr>
            <w:r>
              <w:rPr>
                <w:rFonts w:ascii="Times New Roman" w:eastAsia="宋体" w:hAnsi="Times New Roman"/>
                <w:b w:val="0"/>
                <w:color w:val="000000"/>
                <w:sz w:val="18"/>
              </w:rPr>
              <w:t>工程／技术</w:t>
            </w:r>
          </w:p>
        </w:tc>
        <w:tc>
          <w:tcPr>
            <w:tcW w:w="30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478984">
            <w:pPr>
              <w:spacing w:before="40" w:after="40" w:line="240" w:lineRule="auto"/>
              <w:ind w:firstLine="0"/>
              <w:jc w:val="center"/>
              <w:rPr>
                <w:b w:val="0"/>
                <w:color w:val="000000"/>
              </w:rPr>
            </w:pPr>
            <w:r>
              <w:rPr>
                <w:rFonts w:ascii="Times New Roman" w:eastAsia="宋体" w:hAnsi="Times New Roman"/>
                <w:b w:val="0"/>
                <w:color w:val="000000"/>
                <w:sz w:val="18"/>
              </w:rPr>
              <w:t>资源节约</w:t>
            </w:r>
          </w:p>
        </w:tc>
        <w:tc>
          <w:tcPr>
            <w:tcW w:w="30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5E1F01">
            <w:pPr>
              <w:spacing w:before="40" w:after="40" w:line="240" w:lineRule="auto"/>
              <w:ind w:firstLine="0"/>
              <w:jc w:val="center"/>
              <w:rPr>
                <w:b w:val="0"/>
                <w:color w:val="000000"/>
              </w:rPr>
            </w:pPr>
            <w:r>
              <w:rPr>
                <w:rFonts w:ascii="Times New Roman" w:eastAsia="宋体" w:hAnsi="Times New Roman"/>
                <w:b w:val="0"/>
                <w:color w:val="000000"/>
                <w:sz w:val="18"/>
              </w:rPr>
              <w:t>经济效益</w:t>
            </w:r>
          </w:p>
        </w:tc>
      </w:tr>
      <w:tr w14:paraId="1CD55B15">
        <w:tblPrEx>
          <w:tblW w:w="8329" w:type="dxa"/>
          <w:jc w:val="center"/>
          <w:tblLayout w:type="fixed"/>
          <w:tblCellMar>
            <w:top w:w="0" w:type="dxa"/>
            <w:left w:w="108" w:type="dxa"/>
            <w:bottom w:w="0" w:type="dxa"/>
            <w:right w:w="108" w:type="dxa"/>
          </w:tblCellMar>
        </w:tblPrEx>
        <w:trPr>
          <w:cantSplit/>
          <w:jc w:val="center"/>
        </w:trPr>
        <w:tc>
          <w:tcPr>
            <w:tcW w:w="22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CA8FF1">
            <w:pPr>
              <w:spacing w:before="40" w:after="40" w:line="240" w:lineRule="auto"/>
              <w:ind w:firstLine="0"/>
              <w:jc w:val="center"/>
              <w:rPr>
                <w:b w:val="0"/>
                <w:color w:val="000000"/>
              </w:rPr>
            </w:pPr>
            <w:r>
              <w:rPr>
                <w:rFonts w:ascii="Times New Roman" w:eastAsia="宋体" w:hAnsi="Times New Roman"/>
                <w:b w:val="0"/>
                <w:color w:val="000000"/>
                <w:sz w:val="18"/>
              </w:rPr>
              <w:t>福银高速温拌再生</w:t>
            </w:r>
          </w:p>
        </w:tc>
        <w:tc>
          <w:tcPr>
            <w:tcW w:w="30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228B9F">
            <w:pPr>
              <w:spacing w:before="40" w:after="40" w:line="240" w:lineRule="auto"/>
              <w:ind w:firstLine="0"/>
              <w:jc w:val="left"/>
              <w:rPr>
                <w:b w:val="0"/>
                <w:color w:val="000000"/>
              </w:rPr>
            </w:pPr>
            <w:r>
              <w:rPr>
                <w:rFonts w:ascii="Times New Roman" w:eastAsia="宋体" w:hAnsi="Times New Roman"/>
                <w:b w:val="0"/>
                <w:color w:val="000000"/>
                <w:sz w:val="18"/>
              </w:rPr>
              <w:t>消耗旧料超过9万吨</w:t>
            </w:r>
          </w:p>
        </w:tc>
        <w:tc>
          <w:tcPr>
            <w:tcW w:w="30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0501AB">
            <w:pPr>
              <w:spacing w:before="40" w:after="40" w:line="240" w:lineRule="auto"/>
              <w:ind w:firstLine="0"/>
              <w:jc w:val="left"/>
              <w:rPr>
                <w:b w:val="0"/>
                <w:color w:val="000000"/>
              </w:rPr>
            </w:pPr>
            <w:r>
              <w:rPr>
                <w:rFonts w:ascii="Times New Roman" w:eastAsia="宋体" w:hAnsi="Times New Roman"/>
                <w:b w:val="0"/>
                <w:color w:val="000000"/>
                <w:sz w:val="18"/>
              </w:rPr>
              <w:t>施工成本降低20%以上</w:t>
            </w:r>
          </w:p>
        </w:tc>
      </w:tr>
      <w:tr w14:paraId="489A8B04">
        <w:tblPrEx>
          <w:tblW w:w="8329" w:type="dxa"/>
          <w:jc w:val="center"/>
          <w:tblLayout w:type="fixed"/>
          <w:tblCellMar>
            <w:top w:w="0" w:type="dxa"/>
            <w:left w:w="108" w:type="dxa"/>
            <w:bottom w:w="0" w:type="dxa"/>
            <w:right w:w="108" w:type="dxa"/>
          </w:tblCellMar>
        </w:tblPrEx>
        <w:trPr>
          <w:cantSplit/>
          <w:jc w:val="center"/>
        </w:trPr>
        <w:tc>
          <w:tcPr>
            <w:tcW w:w="22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2173CE">
            <w:pPr>
              <w:spacing w:before="40" w:after="40" w:line="240" w:lineRule="auto"/>
              <w:ind w:firstLine="0"/>
              <w:jc w:val="center"/>
              <w:rPr>
                <w:b w:val="0"/>
                <w:color w:val="000000"/>
              </w:rPr>
            </w:pPr>
            <w:r>
              <w:rPr>
                <w:rFonts w:ascii="Times New Roman" w:eastAsia="宋体" w:hAnsi="Times New Roman"/>
                <w:b w:val="0"/>
                <w:color w:val="000000"/>
                <w:sz w:val="18"/>
              </w:rPr>
              <w:t>大兴机场节能建筑</w:t>
            </w:r>
          </w:p>
        </w:tc>
        <w:tc>
          <w:tcPr>
            <w:tcW w:w="30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D5FC07">
            <w:pPr>
              <w:spacing w:before="40" w:after="40" w:line="240" w:lineRule="auto"/>
              <w:ind w:firstLine="0"/>
              <w:jc w:val="left"/>
              <w:rPr>
                <w:b w:val="0"/>
                <w:color w:val="000000"/>
              </w:rPr>
            </w:pPr>
            <w:r>
              <w:rPr>
                <w:rFonts w:ascii="Times New Roman" w:eastAsia="宋体" w:hAnsi="Times New Roman"/>
                <w:b w:val="0"/>
                <w:color w:val="000000"/>
                <w:sz w:val="18"/>
              </w:rPr>
              <w:t>年减少CO2约2.2万吨</w:t>
            </w:r>
          </w:p>
        </w:tc>
        <w:tc>
          <w:tcPr>
            <w:tcW w:w="30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8AA637">
            <w:pPr>
              <w:spacing w:before="40" w:after="40" w:line="240" w:lineRule="auto"/>
              <w:ind w:firstLine="0"/>
              <w:jc w:val="left"/>
              <w:rPr>
                <w:b w:val="0"/>
                <w:color w:val="000000"/>
              </w:rPr>
            </w:pPr>
            <w:r>
              <w:rPr>
                <w:rFonts w:ascii="Times New Roman" w:eastAsia="宋体" w:hAnsi="Times New Roman"/>
                <w:b w:val="0"/>
                <w:color w:val="000000"/>
                <w:sz w:val="18"/>
              </w:rPr>
              <w:t>能耗较国家标准低约30%</w:t>
            </w:r>
          </w:p>
        </w:tc>
      </w:tr>
      <w:tr w14:paraId="269EAD15">
        <w:tblPrEx>
          <w:tblW w:w="8329" w:type="dxa"/>
          <w:jc w:val="center"/>
          <w:tblLayout w:type="fixed"/>
          <w:tblCellMar>
            <w:top w:w="0" w:type="dxa"/>
            <w:left w:w="108" w:type="dxa"/>
            <w:bottom w:w="0" w:type="dxa"/>
            <w:right w:w="108" w:type="dxa"/>
          </w:tblCellMar>
        </w:tblPrEx>
        <w:trPr>
          <w:cantSplit/>
          <w:jc w:val="center"/>
        </w:trPr>
        <w:tc>
          <w:tcPr>
            <w:tcW w:w="22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3EB5D4">
            <w:pPr>
              <w:spacing w:before="40" w:after="40" w:line="240" w:lineRule="auto"/>
              <w:ind w:firstLine="0"/>
              <w:jc w:val="center"/>
              <w:rPr>
                <w:b w:val="0"/>
                <w:color w:val="000000"/>
              </w:rPr>
            </w:pPr>
            <w:r>
              <w:rPr>
                <w:rFonts w:ascii="Times New Roman" w:eastAsia="宋体" w:hAnsi="Times New Roman"/>
                <w:b w:val="0"/>
                <w:color w:val="000000"/>
                <w:sz w:val="18"/>
              </w:rPr>
              <w:t>武宿机场光伏系统</w:t>
            </w:r>
          </w:p>
        </w:tc>
        <w:tc>
          <w:tcPr>
            <w:tcW w:w="30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F9E2B0">
            <w:pPr>
              <w:spacing w:before="40" w:after="40" w:line="240" w:lineRule="auto"/>
              <w:ind w:firstLine="0"/>
              <w:jc w:val="left"/>
              <w:rPr>
                <w:b w:val="0"/>
                <w:color w:val="000000"/>
              </w:rPr>
            </w:pPr>
            <w:r>
              <w:rPr>
                <w:rFonts w:ascii="Times New Roman" w:eastAsia="宋体" w:hAnsi="Times New Roman"/>
                <w:b w:val="0"/>
                <w:color w:val="000000"/>
                <w:sz w:val="18"/>
              </w:rPr>
              <w:t>年发电约1.2亿千瓦时</w:t>
            </w:r>
          </w:p>
        </w:tc>
        <w:tc>
          <w:tcPr>
            <w:tcW w:w="30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0365B6">
            <w:pPr>
              <w:spacing w:before="40" w:after="40" w:line="240" w:lineRule="auto"/>
              <w:ind w:firstLine="0"/>
              <w:jc w:val="left"/>
              <w:rPr>
                <w:b w:val="0"/>
                <w:color w:val="000000"/>
              </w:rPr>
            </w:pPr>
            <w:r>
              <w:rPr>
                <w:rFonts w:ascii="Times New Roman" w:eastAsia="宋体" w:hAnsi="Times New Roman"/>
                <w:b w:val="0"/>
                <w:color w:val="000000"/>
                <w:sz w:val="18"/>
              </w:rPr>
              <w:t>机场用电高比例自给</w:t>
            </w:r>
          </w:p>
        </w:tc>
      </w:tr>
      <w:tr w14:paraId="16ED785C">
        <w:tblPrEx>
          <w:tblW w:w="8329" w:type="dxa"/>
          <w:jc w:val="center"/>
          <w:tblLayout w:type="fixed"/>
          <w:tblCellMar>
            <w:top w:w="0" w:type="dxa"/>
            <w:left w:w="108" w:type="dxa"/>
            <w:bottom w:w="0" w:type="dxa"/>
            <w:right w:w="108" w:type="dxa"/>
          </w:tblCellMar>
        </w:tblPrEx>
        <w:trPr>
          <w:cantSplit/>
          <w:jc w:val="center"/>
        </w:trPr>
        <w:tc>
          <w:tcPr>
            <w:tcW w:w="22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2CE92C">
            <w:pPr>
              <w:spacing w:before="40" w:after="40" w:line="240" w:lineRule="auto"/>
              <w:ind w:firstLine="0"/>
              <w:jc w:val="center"/>
              <w:rPr>
                <w:b w:val="0"/>
                <w:color w:val="000000"/>
              </w:rPr>
            </w:pPr>
            <w:r>
              <w:rPr>
                <w:rFonts w:ascii="Times New Roman" w:eastAsia="宋体" w:hAnsi="Times New Roman"/>
                <w:b w:val="0"/>
                <w:color w:val="000000"/>
                <w:sz w:val="18"/>
              </w:rPr>
              <w:t>白云机场三期扩建</w:t>
            </w:r>
          </w:p>
        </w:tc>
        <w:tc>
          <w:tcPr>
            <w:tcW w:w="30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6E0229">
            <w:pPr>
              <w:spacing w:before="40" w:after="40" w:line="240" w:lineRule="auto"/>
              <w:ind w:firstLine="0"/>
              <w:jc w:val="left"/>
              <w:rPr>
                <w:b w:val="0"/>
                <w:color w:val="000000"/>
              </w:rPr>
            </w:pPr>
            <w:r>
              <w:rPr>
                <w:rFonts w:ascii="Times New Roman" w:eastAsia="宋体" w:hAnsi="Times New Roman"/>
                <w:b w:val="0"/>
                <w:color w:val="000000"/>
                <w:sz w:val="18"/>
              </w:rPr>
              <w:t>减少建筑垃圾约1.2万吨</w:t>
            </w:r>
          </w:p>
        </w:tc>
        <w:tc>
          <w:tcPr>
            <w:tcW w:w="30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AC7A08">
            <w:pPr>
              <w:spacing w:before="40" w:after="40" w:line="240" w:lineRule="auto"/>
              <w:ind w:firstLine="0"/>
              <w:jc w:val="left"/>
              <w:rPr>
                <w:b w:val="0"/>
                <w:color w:val="000000"/>
              </w:rPr>
            </w:pPr>
            <w:r>
              <w:rPr>
                <w:rFonts w:ascii="Times New Roman" w:eastAsia="宋体" w:hAnsi="Times New Roman"/>
                <w:b w:val="0"/>
                <w:color w:val="000000"/>
                <w:sz w:val="18"/>
              </w:rPr>
              <w:t>年省能耗成本超300万元</w:t>
            </w:r>
          </w:p>
        </w:tc>
      </w:tr>
      <w:tr w14:paraId="7476FDCE">
        <w:tblPrEx>
          <w:tblW w:w="8329" w:type="dxa"/>
          <w:jc w:val="center"/>
          <w:tblLayout w:type="fixed"/>
          <w:tblCellMar>
            <w:top w:w="0" w:type="dxa"/>
            <w:left w:w="108" w:type="dxa"/>
            <w:bottom w:w="0" w:type="dxa"/>
            <w:right w:w="108" w:type="dxa"/>
          </w:tblCellMar>
        </w:tblPrEx>
        <w:trPr>
          <w:cantSplit/>
          <w:jc w:val="center"/>
        </w:trPr>
        <w:tc>
          <w:tcPr>
            <w:tcW w:w="22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7C8FBA">
            <w:pPr>
              <w:spacing w:before="40" w:after="40" w:line="240" w:lineRule="auto"/>
              <w:ind w:firstLine="0"/>
              <w:jc w:val="center"/>
              <w:rPr>
                <w:b w:val="0"/>
                <w:color w:val="000000"/>
              </w:rPr>
            </w:pPr>
            <w:r>
              <w:rPr>
                <w:rFonts w:ascii="Times New Roman" w:eastAsia="宋体" w:hAnsi="Times New Roman"/>
                <w:b w:val="0"/>
                <w:color w:val="000000"/>
                <w:sz w:val="18"/>
              </w:rPr>
              <w:t>组合结构桥梁</w:t>
            </w:r>
          </w:p>
        </w:tc>
        <w:tc>
          <w:tcPr>
            <w:tcW w:w="30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9F1509">
            <w:pPr>
              <w:spacing w:before="40" w:after="40" w:line="240" w:lineRule="auto"/>
              <w:ind w:firstLine="0"/>
              <w:jc w:val="left"/>
              <w:rPr>
                <w:b w:val="0"/>
                <w:color w:val="000000"/>
              </w:rPr>
            </w:pPr>
            <w:r>
              <w:rPr>
                <w:rFonts w:ascii="Times New Roman" w:eastAsia="宋体" w:hAnsi="Times New Roman"/>
                <w:b w:val="0"/>
                <w:color w:val="000000"/>
                <w:sz w:val="18"/>
              </w:rPr>
              <w:t>混凝土节约60%、减碳16万吨</w:t>
            </w:r>
          </w:p>
        </w:tc>
        <w:tc>
          <w:tcPr>
            <w:tcW w:w="30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6BFF3C">
            <w:pPr>
              <w:spacing w:before="40" w:after="40" w:line="240" w:lineRule="auto"/>
              <w:ind w:firstLine="0"/>
              <w:jc w:val="left"/>
              <w:rPr>
                <w:b w:val="0"/>
                <w:color w:val="000000"/>
              </w:rPr>
            </w:pPr>
            <w:r>
              <w:rPr>
                <w:rFonts w:ascii="Times New Roman" w:eastAsia="宋体" w:hAnsi="Times New Roman"/>
                <w:b w:val="0"/>
                <w:color w:val="000000"/>
                <w:sz w:val="18"/>
              </w:rPr>
              <w:t>施工能耗降低30%</w:t>
            </w:r>
          </w:p>
        </w:tc>
      </w:tr>
      <w:tr w14:paraId="2D5AAE3C">
        <w:tblPrEx>
          <w:tblW w:w="8329" w:type="dxa"/>
          <w:jc w:val="center"/>
          <w:tblLayout w:type="fixed"/>
          <w:tblCellMar>
            <w:top w:w="0" w:type="dxa"/>
            <w:left w:w="108" w:type="dxa"/>
            <w:bottom w:w="0" w:type="dxa"/>
            <w:right w:w="108" w:type="dxa"/>
          </w:tblCellMar>
        </w:tblPrEx>
        <w:trPr>
          <w:cantSplit/>
          <w:jc w:val="center"/>
        </w:trPr>
        <w:tc>
          <w:tcPr>
            <w:tcW w:w="22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73E2A6">
            <w:pPr>
              <w:spacing w:before="40" w:after="40" w:line="240" w:lineRule="auto"/>
              <w:ind w:firstLine="0"/>
              <w:jc w:val="center"/>
              <w:rPr>
                <w:b w:val="0"/>
                <w:color w:val="000000"/>
              </w:rPr>
            </w:pPr>
            <w:r>
              <w:rPr>
                <w:rFonts w:ascii="Times New Roman" w:eastAsia="宋体" w:hAnsi="Times New Roman"/>
                <w:b w:val="0"/>
                <w:color w:val="000000"/>
                <w:sz w:val="18"/>
              </w:rPr>
              <w:t>隧道温拌沥青</w:t>
            </w:r>
          </w:p>
        </w:tc>
        <w:tc>
          <w:tcPr>
            <w:tcW w:w="30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3023F9">
            <w:pPr>
              <w:spacing w:before="40" w:after="40" w:line="240" w:lineRule="auto"/>
              <w:ind w:firstLine="0"/>
              <w:jc w:val="left"/>
              <w:rPr>
                <w:b w:val="0"/>
                <w:color w:val="000000"/>
              </w:rPr>
            </w:pPr>
            <w:r>
              <w:rPr>
                <w:rFonts w:ascii="Times New Roman" w:eastAsia="宋体" w:hAnsi="Times New Roman"/>
                <w:b w:val="0"/>
                <w:color w:val="000000"/>
                <w:sz w:val="18"/>
              </w:rPr>
              <w:t>烟尘减排70%以上</w:t>
            </w:r>
          </w:p>
        </w:tc>
        <w:tc>
          <w:tcPr>
            <w:tcW w:w="30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92530F">
            <w:pPr>
              <w:spacing w:before="40" w:after="40" w:line="240" w:lineRule="auto"/>
              <w:ind w:firstLine="0"/>
              <w:jc w:val="left"/>
              <w:rPr>
                <w:b w:val="0"/>
                <w:color w:val="000000"/>
              </w:rPr>
            </w:pPr>
            <w:r>
              <w:rPr>
                <w:rFonts w:ascii="Times New Roman" w:eastAsia="宋体" w:hAnsi="Times New Roman"/>
                <w:b w:val="0"/>
                <w:color w:val="000000"/>
                <w:sz w:val="18"/>
              </w:rPr>
              <w:t>每吨节约约6.85元</w:t>
            </w:r>
          </w:p>
        </w:tc>
      </w:tr>
    </w:tbl>
    <w:p w14:paraId="57073C5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绿色施工除了能够节省直接成本外，还有较大的社会效益，温拌沥青及装配化施工改善了施工环境，减少施工过程中产生的粉尘、噪声及有害气体对作业人员和周边居民的影响，固废和弃渣的大规模处理减轻了施工对沿线的占用，保护了沿线的生态环境，光伏、地热等清洁能源的使用给工程的运营期持续减排打下了基础。</w:t>
      </w:r>
    </w:p>
    <w:p w14:paraId="574F26C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6 结语</w:t>
      </w:r>
    </w:p>
    <w:p w14:paraId="3C69342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道路、机场和桥梁隧道工程绿色施工利用温拌沥青、再生利用、光伏供电、装配化建造、智能照明和方案优化等技术来降低资源消耗、污染排放和工程成本，各个关键技术节能率一般在15%-30%左右。之后要完善绿色施工的量化评价标准，推进技术融合和智慧控制，使交通基础设施朝着低碳化、循环化、可持续的方向发展。</w:t>
      </w:r>
    </w:p>
    <w:p w14:paraId="5CA41D87">
      <w:pPr>
        <w:rPr>
          <w:rFonts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96C6D0E"/>
    <w:rsid w:val="164F566E"/>
    <w:rsid w:val="207E438A"/>
    <w:rsid w:val="3200544D"/>
    <w:rsid w:val="55C83032"/>
    <w:rsid w:val="57914206"/>
    <w:rsid w:val="5F7B1308"/>
    <w:rsid w:val="672E55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4748</Words>
  <Characters>4800</Characters>
  <Application>Microsoft Office Word</Application>
  <DocSecurity>0</DocSecurity>
  <Lines>0</Lines>
  <Paragraphs>0</Paragraphs>
  <ScaleCrop>false</ScaleCrop>
  <Company/>
  <LinksUpToDate>false</LinksUpToDate>
  <CharactersWithSpaces>4800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2026-10-29T03:08:58Z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