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0511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 规范灌区工程运维管理，降低基层管护工作压力</w:t>
      </w:r>
    </w:p>
    <w:p w14:paraId="54B52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灌区渠系建筑物数量大、分布面广，管护人员少，不能保证正常巡检，大部分工程隐患都是等到故障发生后才去处理。信息化系统配套工程台账模块把所有的闸门、涵闸、渠道基础信息、检修记录、养护周期全部录入平台。巡检人员通过移动端APP做定点打卡、隐患拍照上传，后台自动生成养护任务清单，从而达到工程巡检的闭环管理。系统对设备运行数据进行长时间的积累，可以预知传感器和启闭机的老化情况，管护单位可以根据设备状况提前做好预防性的检修工作，降低设备突发故障发生的几率。数字化的台账代替纸质档案，资料调取、年度统计工作效率大幅度提高，基层管护人员工作量得到缓解。</w:t>
      </w:r>
    </w:p>
    <w:p w14:paraId="2B439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二、智慧水利背景下灌区信息化系统建设应用策略</w:t>
      </w:r>
    </w:p>
    <w:p w14:paraId="6380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 因地制宜布设感知监测网络，匹配灌区渠系分布特征</w:t>
      </w:r>
    </w:p>
    <w:p w14:paraId="0D626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感知终端是整个信息化系统的数据来源，不能采用标准化的布设方式，建设单位必须在设计阶段对灌区渠网走向、用水节点分布进行梳理，确定骨干渠系和末级渠的监测要求。骨干输水渠道安装雷达流量计、闸位采集终端，配备视频监控设备保证输水主干线数据的稳定采集，斗渠、农渠等田间小渠道使用成本低、维护方便的水位监测设备。设备点位避开洪水易冲刷、人破坏的高危区域，配装防雷、防水设备。根据需要选择光纤、4G/5G、低功耗物联网混合通信链路。同时还要对设备进行编号，对各点位做出点位地图的标注工作。建设阶段同步做好设备编号、点位地图标注工作，后期运维人员可以很快找到故障感知设备，保证基础数据的稳定传送到平台。</w:t>
      </w:r>
    </w:p>
    <w:p w14:paraId="3DF480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E7C06D1"/>
    <w:rsid w:val="6C1568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864</Words>
  <Characters>866</Characters>
  <Application>Microsoft Office Word</Application>
  <DocSecurity>0</DocSecurity>
  <Lines>0</Lines>
  <Paragraphs>0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2026-10-28T21:31:00Z</dcterms:created>
  <dcterms:modified xsi:type="dcterms:W3CDTF">2026-10-28T21:38:13Z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13E3A42EEEEA49EAA37A7C7DF653ADB4_12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