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F0136F3">
      <w:pPr>
        <w:keepNext w:val="0"/>
        <w:keepLines w:val="0"/>
        <w:pageBreakBefore w:val="0"/>
        <w:kinsoku/>
        <w:wordWrap/>
        <w:overflowPunct/>
        <w:topLinePunct w:val="0"/>
        <w:autoSpaceDE/>
        <w:autoSpaceDN/>
        <w:bidi w:val="0"/>
        <w:adjustRightInd/>
        <w:snapToGrid/>
        <w:spacing w:line="360" w:lineRule="auto"/>
        <w:jc w:val="center"/>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基于大数据的隔压换热站运行参数对供热稳定性的影响分析</w:t>
      </w:r>
    </w:p>
    <w:p w14:paraId="53027B0E">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摘要</w:t>
      </w:r>
      <w:r>
        <w:rPr>
          <w:rFonts w:ascii="Times New Roman" w:hAnsi="Times New Roman" w:eastAsiaTheme="minorEastAsia" w:cs="Times New Roman" w:hint="default"/>
          <w:sz w:val="21"/>
          <w:szCs w:val="21"/>
          <w:lang w:eastAsia="zh-CN"/>
        </w:rPr>
        <w:t>：</w:t>
      </w:r>
      <w:r>
        <w:rPr>
          <w:rFonts w:ascii="Times New Roman" w:hAnsi="Times New Roman" w:eastAsiaTheme="minorEastAsia" w:cs="Times New Roman" w:hint="default"/>
          <w:sz w:val="21"/>
          <w:szCs w:val="21"/>
        </w:rPr>
        <w:t>隔压换热站是大型长输供热管网中的重要枢纽，隔压换热站运行参数稳定与否，直接影响供热系统调节品质以及供热效果的好坏。本文根据国能宁夏供热公司供热运行数据统计表及热网分析与诊断报告，用大数据挖掘的方式，对国能宁夏供热公司供热过程中热网的供热负荷、供回水温度、流量、购售热量、泵站用电量等运行参数做了全面</w:t>
      </w:r>
      <w:bookmarkStart w:id="0" w:name="_GoBack"/>
      <w:bookmarkEnd w:id="0"/>
      <w:r>
        <w:rPr>
          <w:rFonts w:ascii="Times New Roman" w:hAnsi="Times New Roman" w:eastAsiaTheme="minorEastAsia" w:cs="Times New Roman" w:hint="default"/>
          <w:sz w:val="21"/>
          <w:szCs w:val="21"/>
        </w:rPr>
        <w:t>的挖掘，并做了相关性分析。经过研究得知，由于负荷调节粗放造成供需静态失衡，由于流量失衡造成水力失调，由于回水温度变化反映换热工况变差，由于管网流速低及局部比摩阻大造成调节延迟，四个因素互相影响，逐级放大，使供热稳定被削弱。根据以上分析提出负荷分时段精细化调控、水力平衡削峰填谷、换热与仪表治理、管网扩径和质量-量并调等改进办法，给予大型隔压热网智慧化运行一些参照。</w:t>
      </w:r>
    </w:p>
    <w:p w14:paraId="76D4F069">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关键词：隔压换热站；大数据分析；供热稳定性；水力失调；运行参数</w:t>
      </w:r>
    </w:p>
    <w:p w14:paraId="1D5C2D79">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引言</w:t>
      </w:r>
    </w:p>
    <w:p w14:paraId="770D418B">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由于“双碳”战略的推进以及城市集中供热规模的增大，热电联产供热系统中用热电联产作为热源，长输管线作为骨干的供热系统也越来越多</w:t>
      </w:r>
      <w:r>
        <w:rPr>
          <w:rFonts w:ascii="Times New Roman" w:hAnsi="Times New Roman" w:eastAsiaTheme="minorEastAsia" w:cs="Times New Roman" w:hint="default"/>
          <w:sz w:val="21"/>
          <w:szCs w:val="21"/>
          <w:vertAlign w:val="superscript"/>
          <w:lang w:val="en-US" w:eastAsia="zh-CN"/>
        </w:rPr>
        <w:t>[1]</w:t>
      </w:r>
      <w:r>
        <w:rPr>
          <w:rFonts w:ascii="Times New Roman" w:hAnsi="Times New Roman" w:eastAsiaTheme="minorEastAsia" w:cs="Times New Roman" w:hint="default"/>
          <w:sz w:val="21"/>
          <w:szCs w:val="21"/>
        </w:rPr>
        <w:t>。国能宁夏供热公司以灵武电厂1、3号机组作为一期热源，以2、4号机组作为二期热源，一期供热面积3770万平方米，二期供热面积3179万平方米，长输管线长度约41km。长输管线经过中继泵站和3#、4#隔压站到市区形成一级网、二级网、三级网、四级网的供热网络。隔压站主要担负着隔断压力工况、分配热负荷、稳定系统参数的作用，隔压站负荷、温度、流量的变化会沿管道一层层地被放大，对末端供热起着至关重要的作用。本文根据该公司运行数据统计表和诊断报告，从隔压站运行参数同供热稳定性之间的关系入手进行分析，找出主要影响因素提出改进意见。</w:t>
      </w:r>
    </w:p>
    <w:p w14:paraId="4CFE94DC">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1数据来源与分析方法</w:t>
      </w:r>
    </w:p>
    <w:p w14:paraId="341F58E8">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lang w:val="en-US" w:eastAsia="zh-CN"/>
        </w:rPr>
        <w:t>1.1</w:t>
      </w:r>
      <w:r>
        <w:rPr>
          <w:rFonts w:ascii="Times New Roman" w:hAnsi="Times New Roman" w:eastAsiaTheme="minorEastAsia" w:cs="Times New Roman" w:hint="default"/>
          <w:sz w:val="21"/>
          <w:szCs w:val="21"/>
        </w:rPr>
        <w:t>数据来源</w:t>
      </w:r>
    </w:p>
    <w:p w14:paraId="196DDDB8">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数据来源于国能宁夏供热公司供热运行数据统计表和热网分析诊断报告，供热季每天的数据有五类，分别是负荷数据、供回水温度数据、流量数据、购售热量、泵站耗电耗水数据以及203个中心站中76个被监测的站点仪表异常清单、</w:t>
      </w:r>
      <w:r>
        <w:rPr>
          <w:rFonts w:ascii="Times New Roman" w:hAnsi="Times New Roman" w:eastAsiaTheme="minorEastAsia" w:cs="Times New Roman" w:hint="default"/>
          <w:sz w:val="21"/>
          <w:szCs w:val="21"/>
          <w:lang w:eastAsia="zh-CN"/>
        </w:rPr>
        <w:t>万平方米</w:t>
      </w:r>
      <w:r>
        <w:rPr>
          <w:rFonts w:ascii="Times New Roman" w:hAnsi="Times New Roman" w:eastAsiaTheme="minorEastAsia" w:cs="Times New Roman" w:hint="default"/>
          <w:sz w:val="21"/>
          <w:szCs w:val="21"/>
        </w:rPr>
        <w:t>流量与水力仿真结果。</w:t>
      </w:r>
    </w:p>
    <w:p w14:paraId="1926A1E6">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lang w:val="en-US" w:eastAsia="zh-CN"/>
        </w:rPr>
      </w:pPr>
      <w:r>
        <w:rPr>
          <w:rFonts w:ascii="Times New Roman" w:hAnsi="Times New Roman" w:eastAsiaTheme="minorEastAsia" w:cs="Times New Roman" w:hint="default"/>
          <w:sz w:val="21"/>
          <w:szCs w:val="21"/>
          <w:lang w:val="en-US" w:eastAsia="zh-CN"/>
        </w:rPr>
        <w:t>1.2分析方法</w:t>
      </w:r>
    </w:p>
    <w:p w14:paraId="531728A7">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大数据技术对庞大的、维度多样的运行数据做深入挖掘的时候，引入了大数据技术，用时序趋势来描述负荷、温度、流量的时间特性，用多参数相关性分析交叉对比负荷、气温、流量和电耗，找到负荷和其它变量之间的耦合关系，用统计分布、异常检测识别各个</w:t>
      </w:r>
      <w:r>
        <w:rPr>
          <w:rFonts w:ascii="Times New Roman" w:hAnsi="Times New Roman" w:eastAsiaTheme="minorEastAsia" w:cs="Times New Roman" w:hint="default"/>
          <w:sz w:val="21"/>
          <w:szCs w:val="21"/>
          <w:lang w:eastAsia="zh-CN"/>
        </w:rPr>
        <w:t>站点</w:t>
      </w:r>
      <w:r>
        <w:rPr>
          <w:rFonts w:ascii="Times New Roman" w:hAnsi="Times New Roman" w:eastAsiaTheme="minorEastAsia" w:cs="Times New Roman" w:hint="default"/>
          <w:sz w:val="21"/>
          <w:szCs w:val="21"/>
        </w:rPr>
        <w:t>的万平方米流量、单耗、回水温度，并且配合viheating仿真水力计算对管段比摩阻、流速进行校核，用面积台账做因果链推理，从数据异常到物理故障找出原因，给之后的分析打下方法学的基础</w:t>
      </w:r>
      <w:r>
        <w:rPr>
          <w:rFonts w:ascii="Times New Roman" w:hAnsi="Times New Roman" w:eastAsiaTheme="minorEastAsia" w:cs="Times New Roman" w:hint="default"/>
          <w:sz w:val="21"/>
          <w:szCs w:val="21"/>
          <w:vertAlign w:val="superscript"/>
          <w:lang w:val="en-US" w:eastAsia="zh-CN"/>
        </w:rPr>
        <w:t>[2]</w:t>
      </w:r>
      <w:r>
        <w:rPr>
          <w:rFonts w:ascii="Times New Roman" w:hAnsi="Times New Roman" w:eastAsiaTheme="minorEastAsia" w:cs="Times New Roman" w:hint="default"/>
          <w:sz w:val="21"/>
          <w:szCs w:val="21"/>
        </w:rPr>
        <w:t>。</w:t>
      </w:r>
    </w:p>
    <w:p w14:paraId="03344497">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2运行参数对供热稳定性的影响分析</w:t>
      </w:r>
    </w:p>
    <w:p w14:paraId="0B079E26">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根据以上大数据分析，对供热期重要时段内隔压站运行参数做了总结整理，得到表1。</w:t>
      </w:r>
    </w:p>
    <w:p w14:paraId="18157FF6">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2.1负荷调节粗放导致供需静态失配</w:t>
      </w:r>
    </w:p>
    <w:p w14:paraId="30358BCB">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从表1中可以看出，负荷对气温反应是滞后的，11月16日-17日室外温度由-2℃降到-3℃，总平均负荷从950.09MW降到922.94MW，3月28日-30日气温从10℃降到9.5℃的时候，负荷反而从373.21MW下降到331.41MW。大数据显示，3#、4#隔压站所带的站点日负荷曲线大多数都是比较平缓的，小时供热量的变化很小，热源侧日小时供热量基本呈一条水平直线</w:t>
      </w:r>
      <w:r>
        <w:rPr>
          <w:rFonts w:ascii="Times New Roman" w:hAnsi="Times New Roman" w:eastAsiaTheme="minorEastAsia" w:cs="Times New Roman" w:hint="default"/>
          <w:sz w:val="21"/>
          <w:szCs w:val="21"/>
          <w:lang w:eastAsia="zh-CN"/>
        </w:rPr>
        <w:t>，</w:t>
      </w:r>
      <w:r>
        <w:rPr>
          <w:rFonts w:ascii="Times New Roman" w:hAnsi="Times New Roman" w:eastAsiaTheme="minorEastAsia" w:cs="Times New Roman" w:hint="default"/>
          <w:sz w:val="21"/>
          <w:szCs w:val="21"/>
          <w:lang w:val="en-US" w:eastAsia="zh-CN"/>
        </w:rPr>
        <w:t>图1所</w:t>
      </w:r>
      <w:r>
        <w:rPr>
          <w:rFonts w:ascii="Times New Roman" w:hAnsi="Times New Roman" w:eastAsiaTheme="minorEastAsia" w:cs="Times New Roman" w:hint="default"/>
          <w:sz w:val="21"/>
          <w:szCs w:val="21"/>
          <w:lang w:eastAsia="zh-CN"/>
        </w:rPr>
        <w:t>示</w:t>
      </w:r>
      <w:r>
        <w:rPr>
          <w:rFonts w:ascii="Times New Roman" w:hAnsi="Times New Roman" w:eastAsiaTheme="minorEastAsia" w:cs="Times New Roman" w:hint="default"/>
          <w:sz w:val="21"/>
          <w:szCs w:val="21"/>
        </w:rPr>
        <w:t>。恒负荷运行模式同建筑热需求的昼夜变化特性不匹配，夜间、白天大量过热。更重要的是热源到41公里长的输管线到隔压站之间存在时滞，气温突变的时候负荷修正滞后导致末端温度波动，严寒期间每天购热量达到21万GJ以上，不必要的过度调节都会导致热量和电能的双重浪费。</w:t>
      </w:r>
    </w:p>
    <w:p w14:paraId="30794843">
      <w:pPr>
        <w:keepNext w:val="0"/>
        <w:keepLines w:val="0"/>
        <w:pageBreakBefore w:val="0"/>
        <w:kinsoku/>
        <w:wordWrap/>
        <w:overflowPunct/>
        <w:topLinePunct w:val="0"/>
        <w:autoSpaceDE/>
        <w:autoSpaceDN/>
        <w:bidi w:val="0"/>
        <w:adjustRightInd/>
        <w:snapToGrid/>
        <w:spacing w:line="360" w:lineRule="auto"/>
        <w:jc w:val="center"/>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drawing>
          <wp:inline distT="0" distB="0" distL="114300" distR="114300">
            <wp:extent cx="5262245" cy="1115060"/>
            <wp:effectExtent l="0" t="0" r="10795" b="1270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xmlns:r="http://schemas.openxmlformats.org/officeDocument/2006/relationships" r:embed="rId4"/>
                    <a:stretch>
                      <a:fillRect/>
                    </a:stretch>
                  </pic:blipFill>
                  <pic:spPr>
                    <a:xfrm>
                      <a:off x="0" y="0"/>
                      <a:ext cx="5262245" cy="1115060"/>
                    </a:xfrm>
                    <a:prstGeom prst="rect">
                      <a:avLst/>
                    </a:prstGeom>
                    <a:noFill/>
                    <a:ln>
                      <a:noFill/>
                    </a:ln>
                  </pic:spPr>
                </pic:pic>
              </a:graphicData>
            </a:graphic>
          </wp:inline>
        </w:drawing>
      </w:r>
    </w:p>
    <w:p w14:paraId="63E00C23">
      <w:pPr>
        <w:keepNext w:val="0"/>
        <w:keepLines w:val="0"/>
        <w:pageBreakBefore w:val="0"/>
        <w:kinsoku/>
        <w:wordWrap/>
        <w:overflowPunct/>
        <w:topLinePunct w:val="0"/>
        <w:autoSpaceDE/>
        <w:autoSpaceDN/>
        <w:bidi w:val="0"/>
        <w:adjustRightInd/>
        <w:snapToGrid/>
        <w:spacing w:line="360" w:lineRule="auto"/>
        <w:jc w:val="center"/>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图</w:t>
      </w:r>
      <w:r>
        <w:rPr>
          <w:rFonts w:ascii="Times New Roman" w:hAnsi="Times New Roman" w:eastAsiaTheme="minorEastAsia" w:cs="Times New Roman" w:hint="default"/>
          <w:sz w:val="21"/>
          <w:szCs w:val="21"/>
          <w:lang w:val="en-US" w:eastAsia="zh-CN"/>
        </w:rPr>
        <w:t>1</w:t>
      </w:r>
      <w:r>
        <w:rPr>
          <w:rFonts w:ascii="Times New Roman" w:hAnsi="Times New Roman" w:eastAsiaTheme="minorEastAsia" w:cs="Times New Roman" w:hint="default"/>
          <w:sz w:val="21"/>
          <w:szCs w:val="21"/>
        </w:rPr>
        <w:t xml:space="preserve"> 3#隔压站、4#隔压站小时供热量变化趋势</w:t>
      </w:r>
    </w:p>
    <w:p w14:paraId="4A305B0D">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2.2流量分配失衡引发全网水力失调</w:t>
      </w:r>
    </w:p>
    <w:p w14:paraId="2576FD44">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表1显示严寒期一期一网流量13600t/h，热网用大温差小流量的运行方式，水力平衡调节敏感。2022年11月份站点万平方米流</w:t>
      </w:r>
      <w:r>
        <w:rPr>
          <w:rFonts w:ascii="Times New Roman" w:hAnsi="Times New Roman" w:eastAsiaTheme="minorEastAsia" w:cs="Times New Roman" w:hint="default"/>
          <w:sz w:val="21"/>
          <w:szCs w:val="21"/>
          <w:lang w:eastAsia="zh-CN"/>
        </w:rPr>
        <w:t>量的大数</w:t>
      </w:r>
      <w:r>
        <w:rPr>
          <w:rFonts w:ascii="Times New Roman" w:hAnsi="Times New Roman" w:eastAsiaTheme="minorEastAsia" w:cs="Times New Roman" w:hint="default"/>
          <w:sz w:val="21"/>
          <w:szCs w:val="21"/>
        </w:rPr>
        <w:t>据统计表明各个站点流量有较大差别，其中江南水乡、寺南、怡好园等支线末端站点流量急剧上升、分配过多，使其他支线的流量分配出现不足的情况，金盾、利顺德都园、塞上凝聚力等站点整月流量大起大落。原因是监测能力欠缺造成的，全网中心站共203个，被监测、控制的只占了76个，占比较低。抢流、欠流同时存在造成局部过热、局部过冷。</w:t>
      </w:r>
    </w:p>
    <w:p w14:paraId="43BB4920">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3.4实施管网扩径升级与质—量并调，降低调节时滞</w:t>
      </w:r>
    </w:p>
    <w:p w14:paraId="74DF515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提高流速偏小以及比摩阻过大的问题，一方面消除管网的瓶颈，对高比摩阻管线进行扩径升级，贺兰吴阳支线供热面积1157万㎡，DN500管线扩至DN900，计算比摩阻36.4Pa/m，宁夏热力支线200万㎡，DN350扩至DN450，计算比摩阻35.6Pa/m，使管线运行在经济比摩阻内。另一方面就是消除全网的时滞，采用“质、量双调节”的方式，“质”指调节热负荷随气温变化，“量”指调节热能的传输延迟，用数字孪生模型仿真来验证在量调节的情况下热源供热参数、泵阀的运行频率、开度组合对于系统状态的响应，“质”指用数字孪生模型验证各个热力站受到延迟影响的时间，根据流动时间的变化建立全网均衡供热调度方案，减少延迟造成的不良影响。</w:t>
      </w:r>
    </w:p>
    <w:p w14:paraId="49C94175">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rPr>
        <w:t>结语</w:t>
      </w:r>
    </w:p>
    <w:p w14:paraId="653B7A57">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rPr>
      </w:pPr>
      <w:r>
        <w:rPr>
          <w:rFonts w:ascii="Times New Roman" w:hAnsi="Times New Roman" w:eastAsiaTheme="minorEastAsia" w:cs="Times New Roman" w:hint="default"/>
          <w:sz w:val="21"/>
          <w:szCs w:val="21"/>
          <w:lang w:val="en-US" w:eastAsia="zh-CN"/>
        </w:rPr>
        <w:t>通过大数据分</w:t>
      </w:r>
      <w:r>
        <w:rPr>
          <w:rFonts w:ascii="Times New Roman" w:hAnsi="Times New Roman" w:eastAsiaTheme="minorEastAsia" w:cs="Times New Roman" w:hint="default"/>
          <w:sz w:val="21"/>
          <w:szCs w:val="21"/>
        </w:rPr>
        <w:t>析可知，负荷变化范围超过1000MW并且响应时间较长造成供需矛盾，流量分配不均叠加监测覆盖率低至40%，30个站点仪表故障，造成水力失调；站点回水温度波动暴露出直供站管理以及换热设备存在不足，管网比摩阻小造成局部瓶颈，增大调节时间。四大因素叠加加剧了供热稳定性差的原因。应尽快完成负荷优化和流量平滑，从长远来说依靠全网自控升级、数字孪生模型以及“质+量”双管齐下，创建源、网、荷协同控制体系来全面提升供热系统的稳定性以及智能化程度。</w:t>
      </w:r>
    </w:p>
    <w:p w14:paraId="313F9B0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lang w:val="en-US" w:eastAsia="zh-CN"/>
        </w:rPr>
      </w:pPr>
      <w:r>
        <w:rPr>
          <w:rFonts w:ascii="Times New Roman" w:hAnsi="Times New Roman" w:eastAsiaTheme="minorEastAsia" w:cs="Times New Roman" w:hint="default"/>
          <w:sz w:val="21"/>
          <w:szCs w:val="21"/>
          <w:lang w:val="en-US" w:eastAsia="zh-CN"/>
        </w:rPr>
        <w:t>参考文献：</w:t>
      </w:r>
    </w:p>
    <w:p w14:paraId="1C436749">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lang w:val="en-US" w:eastAsia="zh-CN"/>
        </w:rPr>
      </w:pPr>
      <w:r>
        <w:rPr>
          <w:rFonts w:ascii="Times New Roman" w:hAnsi="Times New Roman" w:eastAsiaTheme="minorEastAsia" w:cs="Times New Roman" w:hint="default"/>
          <w:sz w:val="21"/>
          <w:szCs w:val="21"/>
          <w:lang w:val="en-US" w:eastAsia="zh-CN"/>
        </w:rPr>
        <w:t>[1]王安庆,王海超,郎辉,等.换热站短期热负荷预测模型对比研究[J/OL].区域供热,1-17[2026-10-28].</w:t>
      </w:r>
    </w:p>
    <w:p w14:paraId="64EAB27B">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lang w:val="en-US" w:eastAsia="zh-CN"/>
        </w:rPr>
      </w:pPr>
      <w:r>
        <w:rPr>
          <w:rFonts w:ascii="Times New Roman" w:hAnsi="Times New Roman" w:eastAsiaTheme="minorEastAsia" w:cs="Times New Roman" w:hint="default"/>
          <w:sz w:val="21"/>
          <w:szCs w:val="21"/>
          <w:lang w:val="en-US" w:eastAsia="zh-CN"/>
        </w:rPr>
        <w:t>[2]王新锴.热网换热站供热运行节能措施探讨[J].应用能源技术,2026,(8):178-180.</w:t>
      </w:r>
    </w:p>
    <w:p w14:paraId="0D3C18B4">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lang w:val="en-US" w:eastAsia="zh-CN"/>
        </w:rPr>
      </w:pPr>
      <w:r>
        <w:rPr>
          <w:rFonts w:ascii="Times New Roman" w:hAnsi="Times New Roman" w:eastAsiaTheme="minorEastAsia" w:cs="Times New Roman" w:hint="default"/>
          <w:sz w:val="21"/>
          <w:szCs w:val="21"/>
          <w:lang w:val="en-US" w:eastAsia="zh-CN"/>
        </w:rPr>
        <w:t>[3]周游,张铜宇,郭晓光.大型隔压换热站供热系统设计[J].区域供热,2026,(4):136-145.</w:t>
      </w:r>
    </w:p>
    <w:p w14:paraId="47C893FE">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Times New Roman" w:hAnsi="Times New Roman" w:eastAsiaTheme="minorEastAsia" w:cs="Times New Roman" w:hint="default"/>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F01403"/>
    <w:rsid w:val="0C3926A5"/>
    <w:rsid w:val="0D5D1247"/>
    <w:rsid w:val="11FE355F"/>
    <w:rsid w:val="158208D0"/>
    <w:rsid w:val="176812CD"/>
    <w:rsid w:val="1B524AD9"/>
    <w:rsid w:val="1F775505"/>
    <w:rsid w:val="204D3DF5"/>
    <w:rsid w:val="290813EC"/>
    <w:rsid w:val="29C63D00"/>
    <w:rsid w:val="2F6740E2"/>
    <w:rsid w:val="30AA3FF4"/>
    <w:rsid w:val="38D83FB2"/>
    <w:rsid w:val="3A8A305B"/>
    <w:rsid w:val="4C4E7368"/>
    <w:rsid w:val="536D32B1"/>
    <w:rsid w:val="554474B6"/>
    <w:rsid w:val="58380643"/>
    <w:rsid w:val="5C8C341B"/>
    <w:rsid w:val="604B6CF9"/>
    <w:rsid w:val="63A945B1"/>
    <w:rsid w:val="6401024A"/>
    <w:rsid w:val="6BDE1811"/>
    <w:rsid w:val="6FB7415A"/>
    <w:rsid w:val="79A92B2C"/>
    <w:rsid w:val="7A5B37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3</Pages>
  <Words>3548</Words>
  <Characters>3984</Characters>
  <Application>Microsoft Office Word</Application>
  <DocSecurity>0</DocSecurity>
  <Lines>0</Lines>
  <Paragraphs>0</Paragraphs>
  <ScaleCrop>false</ScaleCrop>
  <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2026-10-28T14:51:43Z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