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2035197">
      <w:pPr>
        <w:jc w:val="center"/>
        <w:rPr>
          <w:rFonts w:hint="eastAsia"/>
        </w:rPr>
      </w:pPr>
      <w:r>
        <w:rPr>
          <w:rFonts w:hint="eastAsia"/>
        </w:rPr>
        <w:t>金税四期下企业税务风险管控研究</w:t>
      </w:r>
    </w:p>
    <w:p w14:paraId="285BCBE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p w14:paraId="30942DF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摘要：</w:t>
      </w:r>
      <w:r>
        <w:rPr>
          <w:rFonts w:hint="eastAsia"/>
        </w:rPr>
        <w:t>金税四期依靠大数据技术促使税收征收管理从“以票控税”转变为“以数治税”，跨部门数据共享机制冲破了以前的信息壁垒</w:t>
      </w:r>
      <w:bookmarkStart w:id="0" w:name="_GoBack"/>
      <w:bookmarkEnd w:id="0"/>
      <w:r>
        <w:rPr>
          <w:rFonts w:hint="eastAsia"/>
        </w:rPr>
        <w:t>，税务机关对企业各种涉税事项的审核范围也变得越来越广，风险识别的精确度一直处在提高的状态。煤炭行业的业务链条长、购销环节多、资金流大，在行业的特性作用下，涉税业务的复杂程度也大。本文以煤炭企业为研究对象，梳理金税四期的监管特点，分析煤炭企业在发票管理、收入确认、成本扣除、关联交易资金往来、内部管控等环节的涉税问题，剖析产生风险的原因，从业务前置审核、单据过程管理、指标常态化自查、证据资料留存、预警应急处理五个方面提出管控措施，使煤炭企业适应数字化监管的环境，降低涉税风险，保障经营的稳定合规。</w:t>
      </w:r>
    </w:p>
    <w:p w14:paraId="5B12019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关键词：金税四期；以数治税；税务风险；煤炭企业；风险管控</w:t>
      </w:r>
    </w:p>
    <w:p w14:paraId="747ED30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引言：由于税收数字化改革不断推进，金税四期工程运行，税收监管模式也发生了质的变化。以往税务机关主要是以发票信息为依据进行核查，企业的财税管理重心大多落在票据是否合规上，一些企业利用信息的不对称简化财税处理，将涉税风险隐藏起来。金税四期打通了市场监管、银行、物流、电力、社保等多个部门的数据通道，不再只看发票本身，而是把企业的经营数据、资金流水、产能能耗这些信息结合起来进行交叉核验，企业经营过程中出现的异常情况也会被轻易发现。</w:t>
      </w:r>
    </w:p>
    <w:p w14:paraId="7BCFB2D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煤炭属于基础能源品类，煤炭购销业务一般有单笔交易额高、运输距离长、预收款项多、集团内交易频繁等特点。煤炭企业采购、采掘、销售、运输过程涉及增值税、企业所得税、资源税等税种，业务环节多，涉税风险点多。很多煤炭企业财务部一直以核算报税为主，缺少税务风险的防范意识，业务、储运、财务部门之间缺少信息传递，业务发生之后的风险控制跟不上。金税四期的税收监管体系之下，一般的粗放式财税处理已经不适用了。因此本文根据煤炭企业的经营情况，找出煤炭企业实务中出现的高发税务风险，在此基础上提出适合煤炭行业特点的税务风险管控路线，为同行业涉税管理工作提供一定的借鉴。</w:t>
      </w:r>
    </w:p>
    <w:p w14:paraId="5E75123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一、金税四期核心监管特点</w:t>
      </w:r>
    </w:p>
    <w:p w14:paraId="5DDC5B7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（一）多部门数据联通，实现多维信息交叉比对</w:t>
      </w:r>
    </w:p>
    <w:p w14:paraId="54B2934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金税四期最明显的变化就是打破各部门之间数据壁垒，税务系统可以和多个外部数据进行对接。除企业申报的财务、发票信息之外，系统还可以调取银行账户流水信息，物流运输情况，用电量，仓储过磅数据，社保申报信息等其它外部数据，将企业申报的信息同经营实景的数据加以对照。对煤炭企业而言，利用矿区用电量、外运车辆轨迹、过磅量来与账面上的产销量、销售收入进行比较的时候，如果存在较大的差异，就标记异常。多维的比较使得企业利用账面调节来隐瞒涉税事项的空间被大大缩小。</w:t>
      </w:r>
    </w:p>
    <w:p w14:paraId="673634C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（二）以 “四流一致” 为标尺，核验业务真实性</w:t>
      </w:r>
    </w:p>
    <w:p w14:paraId="0BB7FB4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合同流、货物流、资金流、发票流匹配核验是金税四期开始之后系统自动识别的。系统可以对交易双方、货物名称、交易金额、收付款日期、货物收发地点等做自动核验，从而判定业务是否真实。煤炭购销业务中货物流转会伴随着长途运输、多次中转，在煤炭交易中存在部分交易存在第三方代付运费、中间商撮合交易的情况，当单据链条被切断、交易主体和开票主体不一致的时候，四流匹配出现失衡，就会产生风险线索。监管重点由查证发票的真实性变为确认交易背后的真实业务。</w:t>
      </w:r>
    </w:p>
    <w:p w14:paraId="7067C93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（三）由事后稽查转向指标驱动的智能预警</w:t>
      </w:r>
    </w:p>
    <w:p w14:paraId="40A9F9E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金税四期内置通用风险指标和分行业专项指标通过行业经营模型来确定合理的区间，并且可以对企业的申报数据进行实时跟踪。增值税税负率、所得税贡献率、进销项匹配度、存货变动率、往来账款长期挂账等都会在系统里进行动态监测。煤炭行业有独立的行业指标区间，系统会根据煤炭行业的产能，吨煤成本，运输费用占比等要素进行判断，当指标超出合理范围的时候，不需要人工上报，系统会直接发出预警的任务，监管关口前移，不再只是发现之后再进行稽查，而是提前对异常风险进行识别。</w:t>
      </w:r>
    </w:p>
    <w:p w14:paraId="2A6152C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（四）延伸自然人涉税数据，公私账户联动核查</w:t>
      </w:r>
    </w:p>
    <w:p w14:paraId="2981F28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金税四期将核查对象扩大到企业的法人、股东、财务负责人、业务经办人等个人账户上，打通了企业端与自然人端的涉税信息。以前一些煤炭企业的私人微信、银行卡收取煤款行为被企业端和自然人端的涉税信息所隐藏，数据联动监管之下这些资金的流动也能被发现。股东和企业之间大额资金拆借、公转私转账、分红款未代扣个人所得税等行为都可以通过资金流水勾稽关系被发现，公私资金混用的涉税风险变大。</w:t>
      </w:r>
    </w:p>
    <w:p w14:paraId="58C89D1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二、金税四期下企业典型实务税务风险及成因分析</w:t>
      </w:r>
    </w:p>
    <w:p w14:paraId="7F497A7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（一）发票管理风险</w:t>
      </w:r>
    </w:p>
    <w:p w14:paraId="14F4944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煤炭购销业务发票种类繁多，有煤炭销项发票、采掘物资进项发票、运输服务发票等，发票管理也是高风险的工作。实务中部分煤炭企业购买矿用物资、短途运输服务的时候，供应商资质良莠不齐，造成取得发票的品名模糊不清，缺少明细清单的现象发生；还有部分企业为保证运输成本，接受和实际运输线路、运量不符的运输发票。中间商业务链条较长时会出现开票方和实际供货方不一致的情况。发票入账之后，若系统判定为异常凭证，企业要补缴进项税额并承担滞纳金。采购环节只重视价格，财务审核只审核发票票面，不同时核验供货方资质、运输轨迹、过磅单据，业务真实性审核形同虚设。</w:t>
      </w:r>
    </w:p>
    <w:p w14:paraId="4851F5E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（二）收入确认风险</w:t>
      </w:r>
    </w:p>
    <w:p w14:paraId="6DE4671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煤炭销售大多采取预收货款的形式，客户先打款，之后根据煤质检验的结果来调整结算单价，货物发运与开票结算存在时差。部分企业将预收煤款长期挂账在预收账款科目上，并没有按照会计准则以及税法的相关规定及时将收入结转；另外一些散户购煤交易双方不索取发票，企业将款项存入私人账户，不作收入申报。煤炭企业无偿赠送样品煤、自用燃料煤等属于视同销售行为，一般会存在漏缴增值税的现象。风险产生的原因是财务部门只根据开票数据确认收入，没有和储运部门的出库台账、过磅记录、煤质结算单进行定期核对，收入确认靠开票节点，与货物发出的节奏相脱离。</w:t>
      </w:r>
    </w:p>
    <w:p w14:paraId="3220CD8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（三）成本费用扣除风险</w:t>
      </w:r>
    </w:p>
    <w:p w14:paraId="017E6DE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煤炭企业的成本主要是采掘耗材、运输费、人工费、维简费等项目的成本。实务当中存在不少的成本列支缺少凭证的状况，大额运输费只有发票而无运输合同、磅单、车辆轨迹的证明，外部临时用工和井下劳务支出的工资表与实际出勤记录不符，个税申报人数和社保参保人数相差很大。由于部分企业为了减少账面利润，随意在账面上多记费用或者把和生产经营无关的支出记入成本。煤炭行业的成本结构有明显的特征，运输费用所占比例、耗材耗用的比例比较稳定，当账面成本结构与行业标准存在较大差异的时候，很容易就会引起警报。风险产生的主要原因就是成本控制重票据轻业务资料，财务人员对于煤炭行业成本列支的合规边界没有准确的认识，业务部门提交的资料也不完整。</w:t>
      </w:r>
    </w:p>
    <w:p w14:paraId="0C7AD6C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（四）资金与关联交易风险</w:t>
      </w:r>
    </w:p>
    <w:p w14:paraId="56531B1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煤炭企业大多实行集团化经营，集团内部子公司之间煤炭调拨、代垫运费、资金拆借等关联交易比较频繁。部分关联交易的定价是随意的，交易价格与同期市场煤价差距过大，并且没有保留定价的测算资料，关联企业之间无偿拆借资金没有按照相关的增值税涉税事项进行处理。另外股东与企业之间资金往来频繁，对公账户大额资金转入股东账户后没有及时收回，没有按照股息红利计征个税。资金回流也是比较突出的，部分交易付款之后资金会以各种方式回流到个人账户上，存在明显疑点。由于企业对于关联交易独立交易原则的认识不到位，资金管理没有明确的区分公私界限，往来科目一直不清。</w:t>
      </w:r>
    </w:p>
    <w:p w14:paraId="56D29E8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（五）内控体系风险</w:t>
      </w:r>
    </w:p>
    <w:p w14:paraId="4478A42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煤炭企业业务链条分布广，储运、销售、采购、财务分属不同的部门，各个部门的数据是独立的。合同签订、供应商选定、收款方式确定等决定权由业务部门掌握，财务部门没有提前的审核环节，业务完成后票据才被财务部门接手，风险已经产生。大部分中小煤炭企业没有专门的税务人员，税务工作是由会计兼管的，日常的工作主要是记账报税，没有形成常态化的风险自查体系，只有接到税务通知后才对涉税资料进行整理。企业高层对于税务风险重视程度不够，把税务问题当作财务部门的责任，业务人员缺少基本的财税合规意识，企业的内部控制无法实现全业务流程的覆盖。</w:t>
      </w:r>
    </w:p>
    <w:p w14:paraId="6F18404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三、金税四期下企业税务风险管控优化方案</w:t>
      </w:r>
    </w:p>
    <w:p w14:paraId="0DCA195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（一）事前防控：煤炭业务前置涉税审核</w:t>
      </w:r>
    </w:p>
    <w:p w14:paraId="3A2C3F6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风险控制的重点是业务发起期，从根本上减少不合规交易的发生。设置供应商准入审核机制，对于新供货方、运输服务商的增减，必须检查供货方的经营情况以及纳税信用等级，特别注意对个体运输户、一性合作供应商的提前要求合同中规定发票种类、开票品名、开票时间及不合规发票所对应的处罚。煤炭购销、运输合同中加入涉税条款，关联交易合同也要保留市场询价记录和煤价比较，保证交易价格有合理的根据。规范收款流程，经营煤款必须存入对公账户，不得由业务人员私自使用个人账户收取货款，预收煤款结算节点及调价规则要在合同中做出明确的规定，减小后期收入确认的争议。</w:t>
      </w:r>
    </w:p>
    <w:p w14:paraId="6C43EC4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（二）事中审核：规范煤运单据资料归集</w:t>
      </w:r>
    </w:p>
    <w:p w14:paraId="422801E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财务审核不能只看发票，四流资料同步审核归档是财务审核的重要内容。煤炭采购业务收集采购合同、入库过磅单、煤质化验单、运输单据、付款凭证等，并对外销售业务留存出库单、外运记录、结算单；运输费用入账时核对车辆信息、运输起止地、运量、发票内容。费用报销必须分清业务类别，对井下耗材、劳务、差旅等费用要附有相应的支撑材料。财务人员定期核对进销台账，核对进项、销项的煤炭品名、数量，及时发现进销项不匹配问题，在入账环节剔除虚假的、异常的发票，保证每一个税种的涉税业务都有完整的业务资料作为依据。</w:t>
      </w:r>
    </w:p>
    <w:p w14:paraId="4605F40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（三）事后监控：跟踪煤炭行业风险指标</w:t>
      </w:r>
    </w:p>
    <w:p w14:paraId="340CF76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按月、按季做好内部税务自查工作，编制适合煤炭行业使用的监控指标清单。主要对增值税税负、企业所得税贡献率进行监控，将企业往年的数据与本地煤炭行业的合理区间进行对比，当税负出现较大变动时，写成书面报告说明变动原因。对出库台帐、预收账款、其他应付款进行核对，找出延迟确认收入或者隐瞒收入的情况，将差异事项登记。定期清理其他应收款、关联方往来账款，年终再对股东借款进行重点核查，并督促及时归还或者依法申报。通过经常性的自我检查，在系统发出预警之前就发现异常，自行纠正申报，减少被稽查的可能性。</w:t>
      </w:r>
    </w:p>
    <w:p w14:paraId="74CE2DD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（四）档案支撑：留存煤质过磅佐证资料</w:t>
      </w:r>
    </w:p>
    <w:p w14:paraId="54DA1AC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按照税收征管相关要求建立涉税档案的标准化管理制度，纸质资料和电子资料同时保存。除发票、凭证外，主要保存煤炭业务特有的煤炭业务资料，即过磅单、煤质检测报告、外运调度记录、运输轨迹截图、购销结算单、关联交易定价说明、自查报告等。电子档案做备份、分类存放，便于以后调用。完整的证据链对于税务争议来说是企业举证的关键，在金税四期监管模式之下业务真实性的判定很大程度上依靠佐证材料，档案规范管理可以迅速、有效地在税务检查中提出证据，减少因税务争议带来的损失。</w:t>
      </w:r>
    </w:p>
    <w:p w14:paraId="04598B3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（五）应急兜底：涉税预警快速响应处置</w:t>
      </w:r>
    </w:p>
    <w:p w14:paraId="2E2AA5C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根据税收征管的相关规定建立标准化的涉税档案管理制度，纸质档案与电子档案一同保存。除发票、凭证外，存煤业务的其他资料：过磅单、煤质检测报告、外运调度记录、运输轨迹截图、购销结算单、关联交易定价说明、自查报告等。电子档案备份、分类存放以备以后查阅之用。完整的证据链是税务争议中企业举证的关键，金税四期监管模式下，业务真实性的认定很大程度上依靠佐证材料，规范的档案管理在税务稽查中能快速举证，减少因争议造成的损失。</w:t>
      </w:r>
    </w:p>
    <w:p w14:paraId="139756D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结束语：</w:t>
      </w:r>
    </w:p>
    <w:p w14:paraId="6D2C3B3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金税四期所引发的数字化监管大势之下，企业涉税管理方式的转变也成了必然。煤炭行业业务链条长、交易场景繁杂，一般存在较多的涉税风险，用信息不对称的方式进行财税处理已经不能满足要求了。煤炭企业税务风险控制不能只局限于财务核算这一块，还要延伸到采购、销售、储运等各个环节的业务之中。企业应主动适应以数治税的监管环境，守住业务真实底线，形成一个闭环的、不间断的事前审核、事中留痕、事后自查体系，并且建立证据材料保管制度，制定合理的风险应急处理预案。税务合规不是应付税务机关检查，而是企业正常经营的前提，不断加强税务管理系统的建设，可以防止企业受到罚款、信用等级降低等不利的后果，促使企业实现长久稳定的发展。</w:t>
      </w:r>
    </w:p>
    <w:p w14:paraId="77A328E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A0E6F9D"/>
    <w:rsid w:val="773434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2026-10-28T09:46:56Z</dcterms:created>
  <dcterms:modified xsi:type="dcterms:W3CDTF">2026-10-28T09:58:12Z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423F7B5D3915449D87D6F05AB46E2E18_12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