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A27B485">
      <w:pPr>
        <w:keepNext/>
        <w:spacing w:before="240" w:after="12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hAnsi="宋体" w:cs="宋体" w:hint="eastAsia"/>
          <w:b w:val="0"/>
          <w:bCs/>
          <w:color w:val="EE822F" w:themeColor="accent2"/>
          <w:sz w:val="21"/>
          <w:szCs w:val="21"/>
          <w:lang w:val="en-US" w:eastAsia="zh-CN"/>
          <w14:textFill>
            <w14:solidFill>
              <w14:schemeClr w14:val="accent2"/>
            </w14:solidFill>
          </w14:textFill>
        </w:rPr>
        <w:t>3</w:t>
      </w:r>
      <w:r>
        <w:rPr>
          <w:rFonts w:ascii="宋体" w:eastAsia="宋体" w:hAnsi="宋体" w:cs="宋体" w:hint="eastAsia"/>
          <w:b w:val="0"/>
          <w:bCs/>
          <w:color w:val="EE822F" w:themeColor="accent2"/>
          <w:sz w:val="21"/>
          <w:szCs w:val="21"/>
          <w14:textFill>
            <w14:solidFill>
              <w14:schemeClr w14:val="accent2"/>
            </w14:solidFill>
          </w14:textFill>
        </w:rPr>
        <w:t>新形势下</w:t>
      </w:r>
      <w:r>
        <w:rPr>
          <w:rFonts w:ascii="宋体" w:hAnsi="宋体" w:cs="宋体" w:hint="eastAsia"/>
          <w:b w:val="0"/>
          <w:bCs/>
          <w:color w:val="EE822F" w:themeColor="accent2"/>
          <w:sz w:val="21"/>
          <w:szCs w:val="21"/>
          <w:lang w:eastAsia="zh-CN"/>
          <w14:textFill>
            <w14:solidFill>
              <w14:schemeClr w14:val="accent2"/>
            </w14:solidFill>
          </w14:textFill>
        </w:rPr>
        <w:t>房屋建筑与市政工程</w:t>
      </w:r>
      <w:r>
        <w:rPr>
          <w:rFonts w:ascii="宋体" w:eastAsia="宋体" w:hAnsi="宋体" w:cs="宋体" w:hint="eastAsia"/>
          <w:b w:val="0"/>
          <w:bCs/>
          <w:color w:val="EE822F" w:themeColor="accent2"/>
          <w:sz w:val="21"/>
          <w:szCs w:val="21"/>
          <w14:textFill>
            <w14:solidFill>
              <w14:schemeClr w14:val="accent2"/>
            </w14:solidFill>
          </w14:textFill>
        </w:rPr>
        <w:t>招投标与现场管理</w:t>
      </w:r>
      <w:r>
        <w:rPr>
          <w:rFonts w:ascii="宋体" w:hAnsi="宋体" w:cs="宋体" w:hint="eastAsia"/>
          <w:b w:val="0"/>
          <w:bCs/>
          <w:color w:val="EE822F" w:themeColor="accent2"/>
          <w:sz w:val="21"/>
          <w:szCs w:val="21"/>
          <w:lang w:val="en-US" w:eastAsia="zh-CN"/>
          <w14:textFill>
            <w14:solidFill>
              <w14:schemeClr w14:val="accent2"/>
            </w14:solidFill>
          </w14:textFill>
        </w:rPr>
        <w:t>协同</w:t>
      </w:r>
      <w:r>
        <w:rPr>
          <w:rFonts w:ascii="宋体" w:eastAsia="宋体" w:hAnsi="宋体" w:cs="宋体" w:hint="eastAsia"/>
          <w:b w:val="0"/>
          <w:bCs/>
          <w:color w:val="EE822F" w:themeColor="accent2"/>
          <w:sz w:val="21"/>
          <w:szCs w:val="21"/>
          <w14:textFill>
            <w14:solidFill>
              <w14:schemeClr w14:val="accent2"/>
            </w14:solidFill>
          </w14:textFill>
        </w:rPr>
        <w:t>机制构建路径</w:t>
      </w:r>
    </w:p>
    <w:p w14:paraId="52C1EE53">
      <w:pPr>
        <w:keepNext/>
        <w:spacing w:before="120" w:after="6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3.1以契约衔接为纽带，织密源头履约的责任闭环</w:t>
      </w:r>
    </w:p>
    <w:p w14:paraId="48D648E9">
      <w:pPr>
        <w:spacing w:before="0" w:after="0" w:line="360" w:lineRule="auto"/>
        <w:ind w:firstLine="420" w:firstLineChars="200"/>
        <w:rPr>
          <w:rFonts w:ascii="宋体" w:eastAsia="宋体" w:hAnsi="宋体" w:cs="宋体" w:hint="eastAsia"/>
          <w:b w:val="0"/>
          <w:bCs/>
          <w:color w:val="EE822F" w:themeColor="accent2"/>
          <w:sz w:val="21"/>
          <w:szCs w:val="21"/>
          <w:vertAlign w:val="superscript"/>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协同必须要从契约上打好基础。第一，实行标后交底制度化，合同签订之后、施工开始之前，组织招标人、造价工程师、监理工程师、施工单位等有关人员参加合同交底，对合同的技术标准、计价规则、变更程序及责任界限做出详细的解释，使招标人对施工单位在施工阶段的承诺能够“人人知晓，处处有章可循”。第三，履约责任落实到人、到岗，把合同目标进行可考核的分解，每一个步骤都有明确的责任人，从源头上确定履约承诺，保证责任闭环更完整。交底形式要把抽象的条款变成现场能够执行的操作标准，编制交底纪要作为履约依据，责任分解把重要的节点、里程碑目标写入合同附件，保证各个方知道谁在什么时间对什么目标负什么责任。</w:t>
      </w:r>
      <w:r>
        <w:rPr>
          <w:rFonts w:ascii="宋体" w:eastAsia="宋体" w:hAnsi="宋体" w:cs="宋体" w:hint="eastAsia"/>
          <w:b w:val="0"/>
          <w:bCs/>
          <w:color w:val="EE822F" w:themeColor="accent2"/>
          <w:sz w:val="21"/>
          <w:szCs w:val="21"/>
          <w:vertAlign w:val="superscript"/>
          <w:lang w:val="en-US" w:eastAsia="zh-CN"/>
          <w14:textFill>
            <w14:solidFill>
              <w14:schemeClr w14:val="accent2"/>
            </w14:solidFill>
          </w14:textFill>
        </w:rPr>
        <w:t>[</w:t>
      </w:r>
      <w:r>
        <w:rPr>
          <w:rFonts w:ascii="宋体" w:hAnsi="宋体" w:cs="宋体" w:hint="eastAsia"/>
          <w:b w:val="0"/>
          <w:bCs/>
          <w:color w:val="EE822F" w:themeColor="accent2"/>
          <w:sz w:val="21"/>
          <w:szCs w:val="21"/>
          <w:vertAlign w:val="superscript"/>
          <w:lang w:val="en-US" w:eastAsia="zh-CN"/>
          <w14:textFill>
            <w14:solidFill>
              <w14:schemeClr w14:val="accent2"/>
            </w14:solidFill>
          </w14:textFill>
        </w:rPr>
        <w:t>5</w:t>
      </w:r>
      <w:r>
        <w:rPr>
          <w:rFonts w:ascii="宋体" w:eastAsia="宋体" w:hAnsi="宋体" w:cs="宋体" w:hint="eastAsia"/>
          <w:b w:val="0"/>
          <w:bCs/>
          <w:color w:val="EE822F" w:themeColor="accent2"/>
          <w:sz w:val="21"/>
          <w:szCs w:val="21"/>
          <w:vertAlign w:val="superscript"/>
          <w:lang w:val="en-US" w:eastAsia="zh-CN"/>
          <w14:textFill>
            <w14:solidFill>
              <w14:schemeClr w14:val="accent2"/>
            </w14:solidFill>
          </w14:textFill>
        </w:rPr>
        <w:t>]</w:t>
      </w:r>
    </w:p>
    <w:p w14:paraId="68E83C5B">
      <w:pPr>
        <w:keepNext/>
        <w:spacing w:before="120" w:after="6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3.2以数字平台为载体，打通全过程的信息经络</w:t>
      </w:r>
    </w:p>
    <w:p w14:paraId="622AEDBF">
      <w:pPr>
        <w:spacing w:before="0" w:after="0" w:line="360" w:lineRule="auto"/>
        <w:ind w:firstLine="420" w:firstLineChars="200"/>
        <w:rPr>
          <w:rFonts w:ascii="宋体" w:eastAsia="宋体" w:hAnsi="宋体" w:cs="宋体" w:hint="eastAsia"/>
          <w:b w:val="0"/>
          <w:bCs/>
          <w:color w:val="EE822F" w:themeColor="accent2"/>
          <w:sz w:val="21"/>
          <w:szCs w:val="21"/>
          <w:vertAlign w:val="superscript"/>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数字化给克服信息孤岛赋予了办法。依托“一网统管”，搭建起一个协同平台，把招标、合同、进度、质量、安全、变更等各种各样的信息全部纳入同一个管理体系，保证全过程信息只输入一次，各部门共享使用，从而给现场控制提供及时、全面的决策支持。在此基础上建立预警联动机制，当现场数据出现与合同约定或者设定的阈值存在差异时，立即发出警示并转入处理流程，将问题扼杀在摇篮里，利用平台实现全流程留痕，每一个变更、每一次验收都可以追踪并复核。数字平台的作用不单是提高效率，更重要的是把“合同怎么约定、现场怎么执行”一直摆在眼前，是可被对照、可被检验的信息“信息经络”。平台应开放必要的访问权限给招标监督和现场检查共用一个数据底座，可以减少重复填报，有利于整个过程合规情况的全貌展示，对事中事后监管提供连续的证据链。</w:t>
      </w:r>
      <w:r>
        <w:rPr>
          <w:rFonts w:ascii="宋体" w:eastAsia="宋体" w:hAnsi="宋体" w:cs="宋体" w:hint="eastAsia"/>
          <w:b w:val="0"/>
          <w:bCs/>
          <w:color w:val="EE822F" w:themeColor="accent2"/>
          <w:sz w:val="21"/>
          <w:szCs w:val="21"/>
          <w:vertAlign w:val="superscript"/>
          <w:lang w:val="en-US" w:eastAsia="zh-CN"/>
          <w14:textFill>
            <w14:solidFill>
              <w14:schemeClr w14:val="accent2"/>
            </w14:solidFill>
          </w14:textFill>
        </w:rPr>
        <w:t>[6]</w:t>
      </w:r>
    </w:p>
    <w:p w14:paraId="1F95BA10">
      <w:pPr>
        <w:keepNext/>
        <w:spacing w:before="240" w:after="120" w:line="360" w:lineRule="auto"/>
        <w:ind w:firstLine="420" w:firstLineChars="200"/>
        <w:rPr>
          <w:rFonts w:ascii="宋体" w:eastAsia="宋体" w:hAnsi="宋体" w:cs="宋体" w:hint="eastAsia"/>
          <w:b w:val="0"/>
          <w:bCs/>
          <w:color w:val="EE822F" w:themeColor="accent2"/>
          <w:sz w:val="21"/>
          <w:szCs w:val="21"/>
          <w:lang w:eastAsia="zh-CN"/>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结语</w:t>
      </w:r>
      <w:r>
        <w:rPr>
          <w:rFonts w:ascii="宋体" w:hAnsi="宋体" w:cs="宋体" w:hint="eastAsia"/>
          <w:b w:val="0"/>
          <w:bCs/>
          <w:color w:val="EE822F" w:themeColor="accent2"/>
          <w:sz w:val="21"/>
          <w:szCs w:val="21"/>
          <w:lang w:eastAsia="zh-CN"/>
          <w14:textFill>
            <w14:solidFill>
              <w14:schemeClr w14:val="accent2"/>
            </w14:solidFill>
          </w14:textFill>
        </w:rPr>
        <w:t>：</w:t>
      </w:r>
    </w:p>
    <w:p w14:paraId="7AE486A5">
      <w:pPr>
        <w:spacing w:before="0" w:after="0" w:line="360" w:lineRule="auto"/>
        <w:ind w:firstLine="420" w:firstLineChars="200"/>
        <w:rPr>
          <w:rFonts w:ascii="宋体" w:eastAsia="宋体" w:hAnsi="宋体" w:cs="宋体" w:hint="eastAsia"/>
          <w:b w:val="0"/>
          <w:bCs/>
          <w:color w:val="000000" w:themeColor="text1"/>
          <w:sz w:val="21"/>
          <w:szCs w:val="21"/>
          <w14:textFill>
            <w14:solidFill>
              <w14:schemeClr w14:val="tx1"/>
            </w14:solidFill>
          </w14:textFill>
        </w:rPr>
      </w:pPr>
      <w:r>
        <w:rPr>
          <w:rFonts w:ascii="宋体" w:eastAsia="宋体" w:hAnsi="宋体" w:cs="宋体" w:hint="eastAsia"/>
          <w:b w:val="0"/>
          <w:bCs/>
          <w:color w:val="EE822F" w:themeColor="accent2"/>
          <w:sz w:val="21"/>
          <w:szCs w:val="21"/>
          <w14:textFill>
            <w14:solidFill>
              <w14:schemeClr w14:val="accent2"/>
            </w14:solidFill>
          </w14:textFill>
        </w:rPr>
        <w:t>随着新形势的到来，房屋建筑及市政工程施工的管理也从以前的招投标、现场分段管理的模式中彻底脱离出来，以市场与现场双管齐下、全流程协同管控的方式推进建筑行业的高质量发展已经成了必然之路。招投标管理属于源头的规范，施工现场是成果落地的保证，二者互相促</w:t>
      </w:r>
      <w:r>
        <w:rPr>
          <w:rFonts w:ascii="宋体" w:hAnsi="宋体" w:cs="宋体" w:hint="eastAsia"/>
          <w:b w:val="0"/>
          <w:bCs/>
          <w:color w:val="EE822F" w:themeColor="accent2"/>
          <w:sz w:val="21"/>
          <w:szCs w:val="21"/>
          <w:lang w:eastAsia="zh-CN"/>
          <w14:textFill>
            <w14:solidFill>
              <w14:schemeClr w14:val="accent2"/>
            </w14:solidFill>
          </w14:textFill>
        </w:rPr>
        <w:t>进、</w:t>
      </w:r>
      <w:r>
        <w:rPr>
          <w:rFonts w:ascii="宋体" w:eastAsia="宋体" w:hAnsi="宋体" w:cs="宋体" w:hint="eastAsia"/>
          <w:b w:val="0"/>
          <w:bCs/>
          <w:color w:val="EE822F" w:themeColor="accent2"/>
          <w:sz w:val="21"/>
          <w:szCs w:val="21"/>
          <w14:textFill>
            <w14:solidFill>
              <w14:schemeClr w14:val="accent2"/>
            </w14:solidFill>
          </w14:textFill>
        </w:rPr>
        <w:t>不可偏废，应该是</w:t>
      </w:r>
      <w:r>
        <w:rPr>
          <w:rFonts w:ascii="宋体" w:hAnsi="宋体" w:cs="宋体" w:hint="eastAsia"/>
          <w:b w:val="0"/>
          <w:bCs/>
          <w:color w:val="EE822F" w:themeColor="accent2"/>
          <w:sz w:val="21"/>
          <w:szCs w:val="21"/>
          <w:lang w:eastAsia="zh-CN"/>
          <w14:textFill>
            <w14:solidFill>
              <w14:schemeClr w14:val="accent2"/>
            </w14:solidFill>
          </w14:textFill>
        </w:rPr>
        <w:t>同</w:t>
      </w:r>
      <w:r>
        <w:rPr>
          <w:rFonts w:ascii="宋体" w:eastAsia="宋体" w:hAnsi="宋体" w:cs="宋体" w:hint="eastAsia"/>
          <w:b w:val="0"/>
          <w:bCs/>
          <w:color w:val="EE822F" w:themeColor="accent2"/>
          <w:sz w:val="21"/>
          <w:szCs w:val="21"/>
          <w14:textFill>
            <w14:solidFill>
              <w14:schemeClr w14:val="accent2"/>
            </w14:solidFill>
          </w14:textFill>
        </w:rPr>
        <w:t>频共振。协同机制的建立不能只是增加一些制度外壳的问题，而应该使源头的承诺与过程的执行在每一个环节都能达到合拍的效果。契约衔接、数字平台、协同考核、风险预控的目的都是把责任落实到人，把信息贯通起来，把风险盯住。</w:t>
      </w:r>
    </w:p>
    <w:p w14:paraId="5E56E6D4">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C0383F"/>
    <w:rsid w:val="3693612B"/>
    <w:rsid w:val="6D8E3F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Times New Roman" w:eastAsia="宋体" w:hAnsi="Times New Roman" w:cstheme="minorBidi"/>
      <w:sz w:val="21"/>
      <w:szCs w:val="22"/>
      <w:lang w:val="en-US" w:eastAsia="en-US"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464</Words>
  <Characters>466</Characters>
  <Application>Microsoft Office Word</Application>
  <DocSecurity>0</DocSecurity>
  <Lines>0</Lines>
  <Paragraphs>0</Paragraphs>
  <ScaleCrop>false</ScaleCrop>
  <Company/>
  <LinksUpToDate>false</LinksUpToDate>
  <CharactersWithSpaces>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Pseudo-</cp:lastModifiedBy>
  <cp:revision>0</cp:revision>
  <dcterms:created xsi:type="dcterms:W3CDTF">2026-10-28T07:20:00Z</dcterms:created>
  <dcterms:modified xsi:type="dcterms:W3CDTF">2026-10-28T07:35:45Z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261FD7AED5184D799E4D9D169F78AFE6_12</vt:lpwstr>
  </property>
  <property fmtid="{D5CDD505-2E9C-101B-9397-08002B2CF9AE}" pid="3" name="KSOProductBuildVer">
    <vt:lpwstr>2052-12.1.0.29161</vt:lpwstr>
  </property>
  <property fmtid="{D5CDD505-2E9C-101B-9397-08002B2CF9AE}" pid="4" name="KSOTemplateDocerSaveRecord">
    <vt:lpwstr>eyJoZGlkIjoiYzVlNmU1MzViNTQzZmMzMzAwOGZiZWMxYmQzOTA4MDciLCJ1c2VySWQiOiI0MDM3OTY2MzAifQ==</vt:lpwstr>
  </property>
</Properties>
</file>