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D6EB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摘要：</w:t>
      </w:r>
      <w:r>
        <w:rPr>
          <w:rFonts w:hint="eastAsia"/>
        </w:rPr>
        <w:t>政工干部是企业思想政治工作的组织者、管理者、实施者，政工干部思想政治素质高低和综合业务水平的好坏，决定着企业党建工作及思想引领工作的成效。目前很多企业政工队伍理论学习浮于表面，政治判断力欠缺，工作方式固化，缺少服务生产的融合度。本文以企业一线政工工作为背景，从思想政治素养的维度、综合能力的构成两方面入手，通过调研数据的分析整理出当前政工队伍存在的不足，设计出分层分类培养体系和考核激励机制，提出有实施价值的培养途径，使政工干部由原来的被动完成任务变为现在的主动助力企业发展，为企业思想政治工作夯实思想根基、凝聚职工力量提供一定的实践参考。</w:t>
      </w:r>
    </w:p>
    <w:p w14:paraId="4ED8A5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关键词：企业政工干部；思想政治素养；综合能力；队伍培养</w:t>
      </w:r>
    </w:p>
    <w:p w14:paraId="12DEA2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一、引言</w:t>
      </w:r>
    </w:p>
    <w:p w14:paraId="782E7D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市场经济日益深化、企业改革不断推进，职工的思想观念、价值取向、利益诉求越来越多元化，线上信息传播速度快、信息多，给企业思想政治工作带来新的考验。政工干部处于联系党组织与职工的中间环节，既要能把党的方针、政策及时传达下去，又要能及时了解职工的诉求，解决内部矛盾，疏导职工的负面情绪。长久以来，部分企业对于政工岗位存在重形式轻实效的认知偏差，政工队伍建设重在大政方针的宣讲，轻于针对性的训练和常态化锻炼，致使政工干部的政治素养不能与时俱进，沟通协调、舆情处置、调查研究等业务能力不足，思想政治工作与生产经营“两张皮”。已有研究大多从政工队伍建设的大致方向出发，对于素养指标拆解以及能力训练方案、落实考核机制的研究比较粗略。本文以企业政工工作日常实际为基础，把思想政治素养拆解成可以观察和评价的指标，把综合能力对应到谈心谈话、组织活动、风险防控等实际工作中，通过调研样本分析问题产生的原因，制定培养方案及考核表，使方案能够直接应用到企业政工人才的培育工作当中。</w:t>
      </w:r>
    </w:p>
    <w:p w14:paraId="7A377C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二、企业政工干部思想政治素养与综合能力内涵界定</w:t>
      </w:r>
    </w:p>
    <w:p w14:paraId="38E179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（一）思想政治素养核心内涵</w:t>
      </w:r>
    </w:p>
    <w:p w14:paraId="7219AA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思想政治素养是政工干部的立身之本，与一般的业务能力不同，它更加强调政治立场、价值观念、思想作风，有四个主要的方面，分别是政治理论素养、政治立场和政治判断力、宗旨意识与群众观念、职业道德与自律素养。思想政治素养是人的内在思想底色，决定着政工干部工作出发点的价值取向。</w:t>
      </w:r>
    </w:p>
    <w:p w14:paraId="0E5A5E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（二）综合能力构成要素</w:t>
      </w:r>
    </w:p>
    <w:p w14:paraId="074458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综合能力是政工干部把思想引领落地的手段，以实操场景为依托，有五大方面内容，即职工思想调研研判能力，可以利用座谈、问卷和日常的交流去发现职工的思想动向，及时察觉不稳定苗头；沟通疏导和矛盾调解能力，掌握谈心谈话的技巧，妥善处理岗位矛盾、劳资矛盾、家庭矛盾引起的职工思想问题；宣传教育和活动策划能力，充分利用线下阵地、新媒体平台，策划出贴近职工的思政活动；党建业务融合能力，找准思想政治工作融入生产、安全、班组建设的契合点；舆情与风险应急处理能力，对负面舆情、突发思想事件能第一时间上报，有条理地引导舆情，不使事态扩大。</w:t>
      </w:r>
    </w:p>
    <w:p w14:paraId="7DE69A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思想政治素养与综合能力互为表里，相互支撑，思想政治素养决定方向，综合能力保证落实，素养缺乏的时候能力越强，方向上的偏差就越大；只有良好的思想觉悟，没有操作能力，思想政治工作就会空洞无力。为了更清楚地划分出评价要点，在素养评价指标表1的基础上增加素质评价指标表2如图1所</w:t>
      </w:r>
      <w:r>
        <w:rPr>
          <w:rFonts w:hint="eastAsia"/>
          <w:lang w:val="en-US" w:eastAsia="zh-CN"/>
        </w:rPr>
        <w:t>示</w:t>
      </w:r>
      <w:r>
        <w:rPr>
          <w:rFonts w:hint="eastAsia"/>
        </w:rPr>
        <w:t>。</w:t>
      </w:r>
    </w:p>
    <w:p w14:paraId="1DE5B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</w:rPr>
      </w:pPr>
      <w:r>
        <w:rPr>
          <w:rFonts w:hint="eastAsia"/>
        </w:rPr>
        <w:t>表1企业政工干部思想政治素养评价指标表</w:t>
      </w:r>
    </w:p>
    <w:tbl>
      <w:tblPr>
        <w:tblStyle w:val="TableGrid"/>
        <w:tblW w:w="8546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3"/>
        <w:gridCol w:w="1538"/>
        <w:gridCol w:w="4123"/>
        <w:gridCol w:w="1782"/>
      </w:tblGrid>
      <w:tr w14:paraId="1BA463FE">
        <w:tblPrEx>
          <w:tblW w:w="8546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shd w:val="clear" w:color="auto" w:fill="auto"/>
            <w:vAlign w:val="center"/>
          </w:tcPr>
          <w:p w14:paraId="364946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一级维度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5FFDB1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二级评价指标</w:t>
            </w:r>
          </w:p>
        </w:tc>
        <w:tc>
          <w:tcPr>
            <w:tcW w:w="4123" w:type="dxa"/>
            <w:shd w:val="clear" w:color="auto" w:fill="auto"/>
            <w:vAlign w:val="center"/>
          </w:tcPr>
          <w:p w14:paraId="3030E0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评价观测要点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35111D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评价方式</w:t>
            </w:r>
          </w:p>
        </w:tc>
      </w:tr>
      <w:tr w14:paraId="52CC7E73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shd w:val="clear" w:color="auto" w:fill="auto"/>
            <w:vAlign w:val="center"/>
          </w:tcPr>
          <w:p w14:paraId="22895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政治理论素养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6E7EF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理论学习掌握情况</w:t>
            </w:r>
          </w:p>
        </w:tc>
        <w:tc>
          <w:tcPr>
            <w:tcW w:w="4123" w:type="dxa"/>
            <w:shd w:val="clear" w:color="auto" w:fill="auto"/>
            <w:vAlign w:val="center"/>
          </w:tcPr>
          <w:p w14:paraId="39DBB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按时参加集中学习，自主研读学习材料，能结合本单位工作撰写学习心得，准确理解政策要求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56C4AD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查阅学习笔记、心得体会、现场问答</w:t>
            </w:r>
          </w:p>
        </w:tc>
      </w:tr>
      <w:tr w14:paraId="02781D18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shd w:val="clear" w:color="auto" w:fill="auto"/>
            <w:vAlign w:val="center"/>
          </w:tcPr>
          <w:p w14:paraId="2DBD9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14:paraId="2B15B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理论转化运用能力</w:t>
            </w:r>
          </w:p>
        </w:tc>
        <w:tc>
          <w:tcPr>
            <w:tcW w:w="4123" w:type="dxa"/>
            <w:shd w:val="clear" w:color="auto" w:fill="auto"/>
            <w:vAlign w:val="center"/>
          </w:tcPr>
          <w:p w14:paraId="1AA59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能够把理论内容转化为职工听得懂的语言，在班组宣讲、党课中联系生产实际，不照本宣科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1DD661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听课评价、职工访谈</w:t>
            </w:r>
          </w:p>
        </w:tc>
      </w:tr>
      <w:tr w14:paraId="1E3338F3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shd w:val="clear" w:color="auto" w:fill="auto"/>
            <w:vAlign w:val="center"/>
          </w:tcPr>
          <w:p w14:paraId="54703F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政治判断素养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3422F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意识形态辨别能力</w:t>
            </w:r>
          </w:p>
        </w:tc>
        <w:tc>
          <w:tcPr>
            <w:tcW w:w="4123" w:type="dxa"/>
            <w:shd w:val="clear" w:color="auto" w:fill="auto"/>
            <w:vAlign w:val="center"/>
          </w:tcPr>
          <w:p w14:paraId="7E4BDD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面对网络热点、职工议论，能够识别错误观点，主动正面引导，不转发不当言论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77D260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日常行为观察、案例测试</w:t>
            </w:r>
          </w:p>
        </w:tc>
      </w:tr>
      <w:tr w14:paraId="75232F21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shd w:val="clear" w:color="auto" w:fill="auto"/>
            <w:vAlign w:val="center"/>
          </w:tcPr>
          <w:p w14:paraId="5640F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14:paraId="12240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大局意识</w:t>
            </w:r>
          </w:p>
        </w:tc>
        <w:tc>
          <w:tcPr>
            <w:tcW w:w="4123" w:type="dxa"/>
            <w:shd w:val="clear" w:color="auto" w:fill="auto"/>
            <w:vAlign w:val="center"/>
          </w:tcPr>
          <w:p w14:paraId="67C177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思考问题立足企业整体发展，不局限单一班组、局部利益，落实上级部署不打折扣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44F3B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上级评价、工作复盘</w:t>
            </w:r>
          </w:p>
        </w:tc>
      </w:tr>
      <w:tr w14:paraId="27AF908E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shd w:val="clear" w:color="auto" w:fill="auto"/>
            <w:vAlign w:val="center"/>
          </w:tcPr>
          <w:p w14:paraId="3CD83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群众宗旨素养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4F5DD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深入基层频次</w:t>
            </w:r>
          </w:p>
        </w:tc>
        <w:tc>
          <w:tcPr>
            <w:tcW w:w="4123" w:type="dxa"/>
            <w:shd w:val="clear" w:color="auto" w:fill="auto"/>
            <w:vAlign w:val="center"/>
          </w:tcPr>
          <w:p w14:paraId="43F36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定期走进车间、班组，主动和一线职工交流，不坐在办公室等问题上报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363F9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台账检查、职工随机访谈</w:t>
            </w:r>
          </w:p>
        </w:tc>
      </w:tr>
      <w:tr w14:paraId="57FBC21D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shd w:val="clear" w:color="auto" w:fill="auto"/>
            <w:vAlign w:val="center"/>
          </w:tcPr>
          <w:p w14:paraId="5FC0A7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14:paraId="14B1A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倾听回应意识</w:t>
            </w:r>
          </w:p>
        </w:tc>
        <w:tc>
          <w:tcPr>
            <w:tcW w:w="4123" w:type="dxa"/>
            <w:shd w:val="clear" w:color="auto" w:fill="auto"/>
            <w:vAlign w:val="center"/>
          </w:tcPr>
          <w:p w14:paraId="7FE11C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认真记录职工诉求，及时反馈、跟踪答复，不敷衍推诿职工诉求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12FC1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诉求台账、职工满意度测评</w:t>
            </w:r>
          </w:p>
        </w:tc>
      </w:tr>
      <w:tr w14:paraId="664FDFF1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shd w:val="clear" w:color="auto" w:fill="auto"/>
            <w:vAlign w:val="center"/>
          </w:tcPr>
          <w:p w14:paraId="7700A0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自律道德素养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54EACA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纪律规矩意识</w:t>
            </w:r>
          </w:p>
        </w:tc>
        <w:tc>
          <w:tcPr>
            <w:tcW w:w="4123" w:type="dxa"/>
            <w:shd w:val="clear" w:color="auto" w:fill="auto"/>
            <w:vAlign w:val="center"/>
          </w:tcPr>
          <w:p w14:paraId="197FE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严格遵守党建工作制度、保密规定，不泄露职工个人倾诉内容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14AFA7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工作检查、违纪负面清单</w:t>
            </w:r>
          </w:p>
        </w:tc>
      </w:tr>
      <w:tr w14:paraId="34CDE07D">
        <w:tblPrEx>
          <w:tblW w:w="8546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3" w:type="dxa"/>
            <w:shd w:val="clear" w:color="auto" w:fill="auto"/>
            <w:vAlign w:val="center"/>
          </w:tcPr>
          <w:p w14:paraId="17A29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14:paraId="40188B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工作作风</w:t>
            </w:r>
          </w:p>
        </w:tc>
        <w:tc>
          <w:tcPr>
            <w:tcW w:w="4123" w:type="dxa"/>
            <w:shd w:val="clear" w:color="auto" w:fill="auto"/>
            <w:vAlign w:val="center"/>
          </w:tcPr>
          <w:p w14:paraId="2BFB5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工作务实，杜绝重台账轻实效、重留痕轻效果的形式主义问题</w:t>
            </w:r>
          </w:p>
        </w:tc>
        <w:tc>
          <w:tcPr>
            <w:tcW w:w="1782" w:type="dxa"/>
            <w:shd w:val="clear" w:color="auto" w:fill="auto"/>
            <w:vAlign w:val="center"/>
          </w:tcPr>
          <w:p w14:paraId="31DC99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现场核查、民主测评</w:t>
            </w:r>
          </w:p>
        </w:tc>
      </w:tr>
    </w:tbl>
    <w:p w14:paraId="148D7C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三、企业政工干部素养与能力现状调研及问题分析</w:t>
      </w:r>
    </w:p>
    <w:p w14:paraId="4093A6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本次选取区域内的12家生产型企业作为调研对象，其中包含国企、控股子公司8家，一线专职政工员、兼职政工员86名，通过发放问卷的方式对政工队伍存在的问题进行调研，并对政工部门负责人、基层班组长、一线职工代表进行访谈，整理出政工队伍中存在的突出问题。调研样本基本情况如下表2所示。</w:t>
      </w:r>
    </w:p>
    <w:p w14:paraId="415876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/>
        </w:rPr>
      </w:pPr>
      <w:r>
        <w:rPr>
          <w:rFonts w:hint="eastAsia"/>
        </w:rPr>
        <w:t>表2调研政工样本基本情况统计表</w:t>
      </w:r>
    </w:p>
    <w:tbl>
      <w:tblPr>
        <w:tblStyle w:val="TableGrid"/>
        <w:tblW w:w="73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2"/>
        <w:gridCol w:w="4014"/>
        <w:gridCol w:w="840"/>
        <w:gridCol w:w="906"/>
      </w:tblGrid>
      <w:tr w14:paraId="18172298">
        <w:tblPrEx>
          <w:tblW w:w="7342" w:type="dxa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0369BB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类别</w:t>
            </w:r>
          </w:p>
        </w:tc>
        <w:tc>
          <w:tcPr>
            <w:tcW w:w="4014" w:type="dxa"/>
            <w:shd w:val="clear" w:color="auto" w:fill="auto"/>
            <w:vAlign w:val="center"/>
          </w:tcPr>
          <w:p w14:paraId="629732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分组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1D82E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人数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8C04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占比</w:t>
            </w:r>
          </w:p>
        </w:tc>
      </w:tr>
      <w:tr w14:paraId="0D94D807">
        <w:tblPrEx>
          <w:tblW w:w="734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5C233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岗位类型</w:t>
            </w:r>
          </w:p>
        </w:tc>
        <w:tc>
          <w:tcPr>
            <w:tcW w:w="4014" w:type="dxa"/>
            <w:shd w:val="clear" w:color="auto" w:fill="auto"/>
            <w:vAlign w:val="center"/>
          </w:tcPr>
          <w:p w14:paraId="60143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专职政工干部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0EAE26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1A6B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37.21%</w:t>
            </w:r>
          </w:p>
        </w:tc>
      </w:tr>
      <w:tr w14:paraId="7571EDCB">
        <w:tblPrEx>
          <w:tblW w:w="734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22CE9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014" w:type="dxa"/>
            <w:shd w:val="clear" w:color="auto" w:fill="auto"/>
            <w:vAlign w:val="center"/>
          </w:tcPr>
          <w:p w14:paraId="351302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兼职政工干部（班组长、支部委员兼任）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FE490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54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3DA5B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62.79%</w:t>
            </w:r>
          </w:p>
        </w:tc>
      </w:tr>
      <w:tr w14:paraId="660A0B70">
        <w:tblPrEx>
          <w:tblW w:w="734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3B42F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年龄结构</w:t>
            </w:r>
          </w:p>
        </w:tc>
        <w:tc>
          <w:tcPr>
            <w:tcW w:w="4014" w:type="dxa"/>
            <w:shd w:val="clear" w:color="auto" w:fill="auto"/>
            <w:vAlign w:val="center"/>
          </w:tcPr>
          <w:p w14:paraId="3691EA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30岁及以下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55CD2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E8F27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24.42%</w:t>
            </w:r>
          </w:p>
        </w:tc>
      </w:tr>
      <w:tr w14:paraId="0B891FAA">
        <w:tblPrEx>
          <w:tblW w:w="734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7E504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014" w:type="dxa"/>
            <w:shd w:val="clear" w:color="auto" w:fill="auto"/>
            <w:vAlign w:val="center"/>
          </w:tcPr>
          <w:p w14:paraId="350B9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31-45岁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7DD578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47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065465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54.65%</w:t>
            </w:r>
          </w:p>
        </w:tc>
      </w:tr>
      <w:tr w14:paraId="11195E00">
        <w:tblPrEx>
          <w:tblW w:w="734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16ACEA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014" w:type="dxa"/>
            <w:shd w:val="clear" w:color="auto" w:fill="auto"/>
            <w:vAlign w:val="center"/>
          </w:tcPr>
          <w:p w14:paraId="5CCD55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46岁及以上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4CB2B4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7AE0C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20.93%</w:t>
            </w:r>
          </w:p>
        </w:tc>
      </w:tr>
      <w:tr w14:paraId="6F5FCEF2">
        <w:tblPrEx>
          <w:tblW w:w="734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74CB3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从事政工年限</w:t>
            </w:r>
          </w:p>
        </w:tc>
        <w:tc>
          <w:tcPr>
            <w:tcW w:w="4014" w:type="dxa"/>
            <w:shd w:val="clear" w:color="auto" w:fill="auto"/>
            <w:vAlign w:val="center"/>
          </w:tcPr>
          <w:p w14:paraId="7E0FD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3年以内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68734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40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1FE89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46.51%</w:t>
            </w:r>
          </w:p>
        </w:tc>
      </w:tr>
      <w:tr w14:paraId="54F40E28">
        <w:tblPrEx>
          <w:tblW w:w="734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3EBFE8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014" w:type="dxa"/>
            <w:shd w:val="clear" w:color="auto" w:fill="auto"/>
            <w:vAlign w:val="center"/>
          </w:tcPr>
          <w:p w14:paraId="4EBEE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3-8年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30B06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5E1D1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36.05%</w:t>
            </w:r>
          </w:p>
        </w:tc>
      </w:tr>
      <w:tr w14:paraId="4D1B991E">
        <w:tblPrEx>
          <w:tblW w:w="734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1B5438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014" w:type="dxa"/>
            <w:shd w:val="clear" w:color="auto" w:fill="auto"/>
            <w:vAlign w:val="center"/>
          </w:tcPr>
          <w:p w14:paraId="24EBC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8年以上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8E668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5DC7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17.44%</w:t>
            </w:r>
          </w:p>
        </w:tc>
      </w:tr>
      <w:tr w14:paraId="0B3C9176">
        <w:tblPrEx>
          <w:tblW w:w="734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7B3BD3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学历层次</w:t>
            </w:r>
          </w:p>
        </w:tc>
        <w:tc>
          <w:tcPr>
            <w:tcW w:w="4014" w:type="dxa"/>
            <w:shd w:val="clear" w:color="auto" w:fill="auto"/>
            <w:vAlign w:val="center"/>
          </w:tcPr>
          <w:p w14:paraId="1B5259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大专及以下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565CA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28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277C4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32.56%</w:t>
            </w:r>
          </w:p>
        </w:tc>
      </w:tr>
      <w:tr w14:paraId="017F1F49">
        <w:tblPrEx>
          <w:tblW w:w="734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1C5DA4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014" w:type="dxa"/>
            <w:shd w:val="clear" w:color="auto" w:fill="auto"/>
            <w:vAlign w:val="center"/>
          </w:tcPr>
          <w:p w14:paraId="2BB488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本科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2E680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53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3CBEA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61.63%</w:t>
            </w:r>
          </w:p>
        </w:tc>
      </w:tr>
      <w:tr w14:paraId="4AE9B641">
        <w:tblPrEx>
          <w:tblW w:w="7342" w:type="dxa"/>
          <w:jc w:val="cente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82" w:type="dxa"/>
            <w:shd w:val="clear" w:color="auto" w:fill="auto"/>
            <w:vAlign w:val="center"/>
          </w:tcPr>
          <w:p w14:paraId="1FBB04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</w:p>
        </w:tc>
        <w:tc>
          <w:tcPr>
            <w:tcW w:w="4014" w:type="dxa"/>
            <w:shd w:val="clear" w:color="auto" w:fill="auto"/>
            <w:vAlign w:val="center"/>
          </w:tcPr>
          <w:p w14:paraId="3E03B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硕士及以上</w:t>
            </w:r>
          </w:p>
        </w:tc>
        <w:tc>
          <w:tcPr>
            <w:tcW w:w="840" w:type="dxa"/>
            <w:shd w:val="clear" w:color="auto" w:fill="auto"/>
            <w:vAlign w:val="center"/>
          </w:tcPr>
          <w:p w14:paraId="0D75F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906" w:type="dxa"/>
            <w:shd w:val="clear" w:color="auto" w:fill="auto"/>
            <w:vAlign w:val="center"/>
          </w:tcPr>
          <w:p w14:paraId="657276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5.81%</w:t>
            </w:r>
          </w:p>
        </w:tc>
      </w:tr>
    </w:tbl>
    <w:p w14:paraId="5BD0F7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从样本中可以发现，兼职政工占到六成以上，有近半数的人从事政工工作不到三年的人员，队伍年轻化、兼职化现象严重，新入职人员多，老同志少。通过问卷和访谈，得出如下四个主要问题：</w:t>
      </w:r>
    </w:p>
    <w:p w14:paraId="5BB3A3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思想政治素养发展水平不同，理论内化程度不高。大部分政工干部能够完成规定的学习任务，但是学习是停留在打卡、记笔记的层次上，主动钻研的较少。兼职政工多从事本职生产管理工作，理论学习的时间很零碎，对于政策背后的逻辑没有深入的理解。有部分人员政治敏锐性较差，对职工私下传播的片面言论没有主动引导的意识，认为没有发生群体性事件就无需干涉意识形态风险防范意识薄弱。少数政工干部群众意识淡化，走基层的形式化现象严重，事先安排好工作，很难听到职工真实的想法。</w:t>
      </w:r>
    </w:p>
    <w:p w14:paraId="56C86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二是综合操作能力不足，场景化训练没有。访谈发现，谈心谈话、矛盾调解得分最低的是。政工干部只会进行“说教式”的谈话，不能理解对方的感受，在职工情绪激动的时候很容易陷入冲突之中，部分干部所策划的思政活动形式单一，大多采用开会、看视频的形式，缺少针对青年职工、倒班职工开展的活动；政工与生产相融合的程度较低，不能针对安全生产、技改攻坚、降本增效开展思想动员，思政工作游离于中心工作之外；兼职政工大多未接受过舆情处置、心理疏导等培训，面对突发的思想问题往往不知所措。</w:t>
      </w:r>
    </w:p>
    <w:p w14:paraId="5CD10B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三种就是缺乏分层分类的培养体系。目前大多数企业政工培训是全员集中大课，专职政工、兼职政工、新入职政工使用同一个课程。新政工要进行基本业务流程培训，老政工要进行意识形态研判、新媒体宣传进阶的学习，兼职政工需要轻量化、实操化的课程，统一培训不能满足不同的差异化需求。另外培养以集中授课为主，跟班学习少，结对帮带少，案例复盘少，岗位实训少，学与用相脱离。</w:t>
      </w:r>
    </w:p>
    <w:p w14:paraId="2999B7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四，考核激励导向弱化导致不能形成持久的提升动力。大部分企业对于政工工作的考核重台账、重会议、重活动，轻职工思想的变化，轻矛盾的化解效果，轻职工的满意度。政工岗位晋升通道狭窄，兼职政工无配套激励，干好干坏差距不大，久而久之部分人员产生应付的心理，缺乏主动提升自身素养和能力的内生动力。</w:t>
      </w:r>
    </w:p>
    <w:p w14:paraId="45E789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深入挖掘原因，一是企业管理层对于政工工作的价值认识不足，投入少；二是政工人才的来源渠道很分散，大部分是从生产、行政岗位上转岗过来的，没有经过系统的思政专业教育；另外职工的思想动态变化很快，原有的工作经验很快就会失效，不能满足当前的需要。</w:t>
      </w:r>
    </w:p>
    <w:p w14:paraId="6DF5D8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四、企业政工干部思想政治素养与综合能力分层培养路径</w:t>
      </w:r>
    </w:p>
    <w:p w14:paraId="26855D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（一）分层开展思想政治素养培育，夯实思想根基</w:t>
      </w:r>
    </w:p>
    <w:p w14:paraId="6CBC8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一是打牢理论基础的基础培训。新政工主要进行基础课程，即党章党规、企业党建制度、意识形态工作责任清单，能记住基本的表述与工作红线，成熟专职政工着重于深入研读最新政策、经济形势及行业改革的内容，举行专题研讨，设置案例辨析课，选取企业的内部意识形态风险案例进行讨论，培育政治判断力，兼职政工举办短周期微课堂，先学好与班组管理、职工沟通有关的政策内容，缩减理论篇幅，减轻学习压力。学习方式上减少单向宣讲，加强领学、辩论、错题复盘，检查理论转化的效果。</w:t>
      </w:r>
    </w:p>
    <w:p w14:paraId="5B0770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二，形成常态化的下沉基层夯实群众基础的格局。创建固定的基层联系点制度，每个政工干部对所辖班组负有固定责任，每月到基层现场检查不少于4次，下沉任务具体明确，收集职工诉求、了解职工思想动态、回访矛盾当事人，不能用材料报送代替实地走访。党建部门对走访记录不定期抽查，对职工随机回访，保证走</w:t>
      </w:r>
      <w:r>
        <w:rPr>
          <w:rFonts w:hint="eastAsia"/>
          <w:lang w:val="en-US" w:eastAsia="zh-CN"/>
        </w:rPr>
        <w:t>访的</w:t>
      </w:r>
      <w:r>
        <w:rPr>
          <w:rFonts w:hint="eastAsia"/>
        </w:rPr>
        <w:t>真实性，促使政工干部放下架子，有职工视角去思考问题。</w:t>
      </w:r>
    </w:p>
    <w:p w14:paraId="027CDF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三是纪律作风常态化教育。每季度对政工岗位进行廉政、保密教育，要求所有政工人员不得泄露有关职工谈话、职工个人困难的情况，不得向无关人员传播有关信息，对政工岗位负面行为进行梳理，包含对职工敷衍、形式化的走访、发表不当言论等行为，以警示教育的形式不断加强自律意识。</w:t>
      </w:r>
    </w:p>
    <w:p w14:paraId="71FCC6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（二）场景化实训强化综合能力，补齐实操短板</w:t>
      </w:r>
    </w:p>
    <w:p w14:paraId="0B6382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能力培养摒弃单一的课堂模式，以实景训练为主，把高频次的难点工作解决好。</w:t>
      </w:r>
    </w:p>
    <w:p w14:paraId="7B8FE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一，开展谈心谈话和矛盾调解的实践训练。整理企业常见场景职工绩效下降后产生负面情绪、岗位变动不适、同事矛盾、家庭问题干扰工作、对制度持有异议等情况，创设模拟谈话场景，以资深政工为模拟对象，参与人员进行实际谈话模拟，谈话结束之后导师对谈话的用语、切入口以及共情方式给出标准的参考要点。创建“导师结对”的机制，新来的政工老师要和从业8年以上骨干结成对子，一起参与真实谈话、矛盾化解的过程，现场观察学习。</w:t>
      </w:r>
    </w:p>
    <w:p w14:paraId="6840BE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二是党建业务融合的实训。根据企业阶段性中心任务开展大修技改、安全专项整治、产能提升活动时，政工干部制订相应的思想工作实施方案，设计思想工作动员方式、关怀手段和宣传载体，由生产负责人、党建负责人联合审核方案的可行性，促使政工学会把思想工作融入到生产过程之中。</w:t>
      </w:r>
    </w:p>
    <w:p w14:paraId="26B77B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三是宣传和新媒体能力的实训。根据青年职工喜欢在线上获取信息的特点，组织短视频制作、图文推文、班组宣传栏创建培训，调动政工利用简单而生动的语言讲身边榜样故事的积极性；设置舆情模拟演练，模拟内部微信群负面消息、不实消息的扩散情景，培养上报机制、沟通口径、引导方式。</w:t>
      </w:r>
    </w:p>
    <w:p w14:paraId="559540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第四，创建案例复盘的机制。企业党建部门创建政工案例库，保存优秀的化解矛盾、妥善处理思想风险的正面案例和错误的反面案例，每月底开展案例研讨活动，总结处理的经验和教训，提炼可复制的工作方法。</w:t>
      </w:r>
    </w:p>
    <w:p w14:paraId="44F155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（三）搭建多元历练平台，拓宽成长渠道</w:t>
      </w:r>
    </w:p>
    <w:p w14:paraId="61F804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优先让政工干部去参与重难点工作的历练，在急难任务中考察政工人员的素质、能力。对于容易引起职工思想波动的搬迁企业、薪酬改革企业、机构调整企业等，从思想上做好职工的思想工作，由政工人员组成思想保障小组全程跟踪职工的思想变化，推荐优秀的政工人员到上级党建交流、思政课题研究中去，打通轮岗渠道，把政工人员安排到生产、人力、安全部门短时间实习，了解企业业务运作，消除和生产部门之间的信息壁垒。对于兼职政工要合理安排本职工作与政工工作之间的关系，政工工作工作量计入工作量，不能超过工作量。</w:t>
      </w:r>
    </w:p>
    <w:p w14:paraId="5AEA0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（四）优化考核评价与激励机制，激发内生动力</w:t>
      </w:r>
    </w:p>
    <w:p w14:paraId="0BB92E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重新设置考核权重，把“重台账，轻效果”的导向变为“重实效”。以思想政治素养、职工满意度、矛盾化解成果、思想风险预警成果为考核重点，台账资料只做辅助性证明材料使用。考核以表1中评价指标为基础，采用职工测评、班组评价、党建部门考评相结合的考核方式。完善正向激励政工工作成效与评优评先、岗位晋升挂钩，设立思政工作创新奖，对成效明显、有创新的谈心谈话、思想活动、风险处置案例给予表彰奖励，拓宽政工人才的晋升渠道，将优秀兼职政工作为支部委员和专职政工储备人选。还要建立约谈帮扶制度，对连续考核靠后政工人员实行一对一帮扶，制订专门提升计划限期整改。</w:t>
      </w:r>
      <w:bookmarkStart w:id="0" w:name="_GoBack"/>
      <w:bookmarkEnd w:id="0"/>
    </w:p>
    <w:p w14:paraId="79545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结语</w:t>
      </w:r>
    </w:p>
    <w:p w14:paraId="28316C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企业的政工干部思想政治素养是方向的根基，综合能力是落实工作的抓手，两者是不可分割的。目前企业政工队伍兼职化、新员工多的特点决定了培养工作不能照搬宏观党建模式，应该在谈心谈话、基层走访、矛盾调解、风险排查这些具体的工作中体现出来。建立分层素养培育体系、场景化能力实训体系、科学考核激励体系，不断纠正思政工作形式化、与生产相脱离的弊端，促进政工干部政治鉴别力、群众工作能力的提升，及时消除职工思想困惑，化解内部矛盾，把思想政治优势转化为企业稳定发展、凝聚队伍的内在动力。</w:t>
      </w:r>
    </w:p>
    <w:p w14:paraId="466C99EA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96C6D0E"/>
    <w:rsid w:val="164F566E"/>
    <w:rsid w:val="55C83032"/>
    <w:rsid w:val="5791420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879</Words>
  <Characters>881</Characters>
  <Application>Microsoft Office Word</Application>
  <DocSecurity>0</DocSecurity>
  <Lines>0</Lines>
  <Paragraphs>0</Paragraphs>
  <ScaleCrop>false</ScaleCrop>
  <Company/>
  <LinksUpToDate>false</LinksUpToDate>
  <CharactersWithSpaces>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2026-10-28T07:22:03Z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