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B49D6E9">
      <w:r>
        <w:rPr>
          <w:rFonts w:ascii="宋体" w:eastAsia="宋体" w:hAnsi="宋体" w:cs="宋体" w:hint="eastAsia"/>
          <w:b/>
          <w:bCs w:val="0"/>
          <w:color w:val="EE822F" w:themeColor="accent2"/>
          <w:sz w:val="21"/>
          <w:szCs w:val="21"/>
          <w14:textFill>
            <w14:solidFill>
              <w14:schemeClr w14:val="accent2"/>
            </w14:solidFill>
          </w14:textFill>
        </w:rPr>
        <w:t>摘要：</w:t>
      </w:r>
      <w:r>
        <w:rPr>
          <w:rFonts w:ascii="宋体" w:eastAsia="宋体" w:hAnsi="宋体" w:cs="宋体" w:hint="eastAsia"/>
          <w:b w:val="0"/>
          <w:bCs/>
          <w:color w:val="EE822F" w:themeColor="accent2"/>
          <w:sz w:val="21"/>
          <w:szCs w:val="21"/>
          <w14:textFill>
            <w14:solidFill>
              <w14:schemeClr w14:val="accent2"/>
            </w14:solidFill>
          </w14:textFill>
        </w:rPr>
        <w:t>招投标是工程建设的开端重要环节，是决定项目各参建单位、合同条款、造价标准和安全质量底线的决定性因素，施工现场是招投标结果落地转化的主要场所。目前行业的招投标管理与施工现场</w:t>
      </w:r>
      <w:r>
        <w:rPr>
          <w:rFonts w:ascii="宋体" w:hAnsi="宋体" w:cs="宋体" w:hint="eastAsia"/>
          <w:b w:val="0"/>
          <w:bCs/>
          <w:color w:val="EE822F" w:themeColor="accent2"/>
          <w:sz w:val="21"/>
          <w:szCs w:val="21"/>
          <w:lang w:val="en-US" w:eastAsia="zh-CN"/>
          <w14:textFill>
            <w14:solidFill>
              <w14:schemeClr w14:val="accent2"/>
            </w14:solidFill>
          </w14:textFill>
        </w:rPr>
        <w:t>管</w:t>
      </w:r>
      <w:r>
        <w:rPr>
          <w:rFonts w:ascii="宋体" w:eastAsia="宋体" w:hAnsi="宋体" w:cs="宋体" w:hint="eastAsia"/>
          <w:b w:val="0"/>
          <w:bCs/>
          <w:color w:val="EE822F" w:themeColor="accent2"/>
          <w:sz w:val="21"/>
          <w:szCs w:val="21"/>
          <w14:textFill>
            <w14:solidFill>
              <w14:schemeClr w14:val="accent2"/>
            </w14:solidFill>
          </w14:textFill>
        </w:rPr>
        <w:t>理脱节、标前标后监管断层、市场信用和现场履约相脱离的突</w:t>
      </w:r>
      <w:r>
        <w:rPr>
          <w:rFonts w:ascii="宋体" w:eastAsia="宋体" w:hAnsi="宋体" w:cs="宋体" w:hint="eastAsia"/>
          <w:b w:val="0"/>
          <w:bCs/>
          <w:color w:val="EE822F" w:themeColor="accent2"/>
          <w:sz w:val="21"/>
          <w:szCs w:val="21"/>
          <w:lang w:val="en-US" w:eastAsia="zh-CN"/>
          <w14:textFill>
            <w14:solidFill>
              <w14:schemeClr w14:val="accent2"/>
            </w14:solidFill>
          </w14:textFill>
        </w:rPr>
        <w:t>出问</w:t>
      </w:r>
      <w:r>
        <w:rPr>
          <w:rFonts w:ascii="宋体" w:eastAsia="宋体" w:hAnsi="宋体" w:cs="宋体" w:hint="eastAsia"/>
          <w:b w:val="0"/>
          <w:bCs/>
          <w:color w:val="EE822F" w:themeColor="accent2"/>
          <w:sz w:val="21"/>
          <w:szCs w:val="21"/>
          <w14:textFill>
            <w14:solidFill>
              <w14:schemeClr w14:val="accent2"/>
            </w14:solidFill>
          </w14:textFill>
        </w:rPr>
        <w:t>题比较多，招投标管理和施工现场管理一直分轨运行所造成的“源头承诺”和“履约</w:t>
      </w:r>
      <w:r>
        <w:rPr>
          <w:rFonts w:ascii="宋体" w:eastAsia="宋体" w:hAnsi="宋体" w:cs="宋体" w:hint="eastAsia"/>
          <w:b w:val="0"/>
          <w:bCs/>
          <w:color w:val="EE822F" w:themeColor="accent2"/>
          <w:sz w:val="21"/>
          <w:szCs w:val="21"/>
          <w:lang w:val="en-US" w:eastAsia="zh-CN"/>
          <w14:textFill>
            <w14:solidFill>
              <w14:schemeClr w14:val="accent2"/>
            </w14:solidFill>
          </w14:textFill>
        </w:rPr>
        <w:t>兑现”</w:t>
      </w:r>
      <w:r>
        <w:rPr>
          <w:rFonts w:ascii="宋体" w:eastAsia="宋体" w:hAnsi="宋体" w:cs="宋体" w:hint="eastAsia"/>
          <w:b w:val="0"/>
          <w:bCs/>
          <w:color w:val="EE822F" w:themeColor="accent2"/>
          <w:sz w:val="21"/>
          <w:szCs w:val="21"/>
          <w14:textFill>
            <w14:solidFill>
              <w14:schemeClr w14:val="accent2"/>
            </w14:solidFill>
          </w14:textFill>
        </w:rPr>
        <w:t>的矛盾越来越严重。本文根据新的形势对两个管理环节提出的新要求，首先论述创建协同机制的意义，再剖析目前合同条款和现场执行“两张皮”、信息和责任传递“断链”、协同考核“空转”的主要障碍，最后提出契约衔接来固定履约责任、数字平台来打通全过程信息、协同考核来激发内生动力三种机制的构建思路。</w:t>
      </w:r>
    </w:p>
    <w:p w14:paraId="4752AB05">
      <w:pPr>
        <w:spacing w:before="0" w:after="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伴随着我国工程建设领域市场化改革不断深入，全过程监管</w:t>
      </w:r>
      <w:r>
        <w:rPr>
          <w:rFonts w:ascii="宋体" w:eastAsia="宋体" w:hAnsi="宋体" w:cs="宋体" w:hint="eastAsia"/>
          <w:b w:val="0"/>
          <w:bCs/>
          <w:color w:val="EE822F" w:themeColor="accent2"/>
          <w:sz w:val="21"/>
          <w:szCs w:val="21"/>
          <w:lang w:val="en-US" w:eastAsia="zh-CN"/>
          <w14:textFill>
            <w14:solidFill>
              <w14:schemeClr w14:val="accent2"/>
            </w14:solidFill>
          </w14:textFill>
        </w:rPr>
        <w:t>体</w:t>
      </w:r>
      <w:r>
        <w:rPr>
          <w:rFonts w:ascii="宋体" w:eastAsia="宋体" w:hAnsi="宋体" w:cs="宋体" w:hint="eastAsia"/>
          <w:b w:val="0"/>
          <w:bCs/>
          <w:color w:val="EE822F" w:themeColor="accent2"/>
          <w:sz w:val="21"/>
          <w:szCs w:val="21"/>
          <w14:textFill>
            <w14:solidFill>
              <w14:schemeClr w14:val="accent2"/>
            </w14:solidFill>
          </w14:textFill>
        </w:rPr>
        <w:t>系日趋完备</w:t>
      </w:r>
      <w:r>
        <w:rPr>
          <w:rFonts w:ascii="宋体" w:eastAsia="宋体" w:hAnsi="宋体" w:cs="宋体" w:hint="eastAsia"/>
          <w:b w:val="0"/>
          <w:bCs/>
          <w:color w:val="EE822F" w:themeColor="accent2"/>
          <w:sz w:val="21"/>
          <w:szCs w:val="21"/>
          <w:lang w:eastAsia="zh-CN"/>
          <w14:textFill>
            <w14:solidFill>
              <w14:schemeClr w14:val="accent2"/>
            </w14:solidFill>
          </w14:textFill>
        </w:rPr>
        <w:t>，我国房屋建筑和市</w:t>
      </w:r>
      <w:r>
        <w:rPr>
          <w:rFonts w:ascii="宋体" w:eastAsia="宋体" w:hAnsi="宋体" w:cs="宋体" w:hint="eastAsia"/>
          <w:b w:val="0"/>
          <w:bCs/>
          <w:color w:val="EE822F" w:themeColor="accent2"/>
          <w:sz w:val="21"/>
          <w:szCs w:val="21"/>
          <w14:textFill>
            <w14:solidFill>
              <w14:schemeClr w14:val="accent2"/>
            </w14:solidFill>
          </w14:textFill>
        </w:rPr>
        <w:t>政工程正处在从市场规范化、监管精细化、管理一体化向新的发展阶段迈进，招</w:t>
      </w:r>
      <w:r>
        <w:rPr>
          <w:rFonts w:ascii="宋体" w:hAnsi="宋体" w:cs="宋体" w:hint="eastAsia"/>
          <w:b w:val="0"/>
          <w:bCs/>
          <w:color w:val="EE822F" w:themeColor="accent2"/>
          <w:sz w:val="21"/>
          <w:szCs w:val="21"/>
          <w:lang w:val="en-US" w:eastAsia="zh-CN"/>
          <w14:textFill>
            <w14:solidFill>
              <w14:schemeClr w14:val="accent2"/>
            </w14:solidFill>
          </w14:textFill>
        </w:rPr>
        <w:t>投标</w:t>
      </w:r>
      <w:r>
        <w:rPr>
          <w:rFonts w:ascii="宋体" w:eastAsia="宋体" w:hAnsi="宋体" w:cs="宋体" w:hint="eastAsia"/>
          <w:b w:val="0"/>
          <w:bCs/>
          <w:color w:val="EE822F" w:themeColor="accent2"/>
          <w:sz w:val="21"/>
          <w:szCs w:val="21"/>
          <w14:textFill>
            <w14:solidFill>
              <w14:schemeClr w14:val="accent2"/>
            </w14:solidFill>
          </w14:textFill>
        </w:rPr>
        <w:t>市场日趋规</w:t>
      </w:r>
      <w:r>
        <w:rPr>
          <w:rFonts w:ascii="宋体" w:hAnsi="宋体" w:cs="宋体" w:hint="eastAsia"/>
          <w:b w:val="0"/>
          <w:bCs/>
          <w:color w:val="EE822F" w:themeColor="accent2"/>
          <w:sz w:val="21"/>
          <w:szCs w:val="21"/>
          <w:lang w:val="en-US" w:eastAsia="zh-CN"/>
          <w14:textFill>
            <w14:solidFill>
              <w14:schemeClr w14:val="accent2"/>
            </w14:solidFill>
          </w14:textFill>
        </w:rPr>
        <w:t>范、公平、</w:t>
      </w:r>
      <w:r>
        <w:rPr>
          <w:rFonts w:ascii="宋体" w:eastAsia="宋体" w:hAnsi="宋体" w:cs="宋体" w:hint="eastAsia"/>
          <w:b w:val="0"/>
          <w:bCs/>
          <w:color w:val="EE822F" w:themeColor="accent2"/>
          <w:sz w:val="21"/>
          <w:szCs w:val="21"/>
          <w14:textFill>
            <w14:solidFill>
              <w14:schemeClr w14:val="accent2"/>
            </w14:solidFill>
          </w14:textFill>
        </w:rPr>
        <w:t>公正，</w:t>
      </w:r>
      <w:r>
        <w:rPr>
          <w:rFonts w:ascii="宋体" w:hAnsi="宋体" w:cs="宋体" w:hint="eastAsia"/>
          <w:b w:val="0"/>
          <w:bCs/>
          <w:color w:val="EE822F" w:themeColor="accent2"/>
          <w:sz w:val="21"/>
          <w:szCs w:val="21"/>
          <w:lang w:val="en-US" w:eastAsia="zh-CN"/>
          <w14:textFill>
            <w14:solidFill>
              <w14:schemeClr w14:val="accent2"/>
            </w14:solidFill>
          </w14:textFill>
        </w:rPr>
        <w:t>建筑</w:t>
      </w:r>
      <w:r>
        <w:rPr>
          <w:rFonts w:ascii="宋体" w:eastAsia="宋体" w:hAnsi="宋体" w:cs="宋体" w:hint="eastAsia"/>
          <w:b w:val="0"/>
          <w:bCs/>
          <w:color w:val="EE822F" w:themeColor="accent2"/>
          <w:sz w:val="21"/>
          <w:szCs w:val="21"/>
          <w14:textFill>
            <w14:solidFill>
              <w14:schemeClr w14:val="accent2"/>
            </w14:solidFill>
          </w14:textFill>
        </w:rPr>
        <w:t>业由粗放型向高质</w:t>
      </w:r>
      <w:r>
        <w:rPr>
          <w:rFonts w:ascii="宋体" w:hAnsi="宋体" w:cs="宋体" w:hint="eastAsia"/>
          <w:b w:val="0"/>
          <w:bCs/>
          <w:color w:val="EE822F" w:themeColor="accent2"/>
          <w:sz w:val="21"/>
          <w:szCs w:val="21"/>
          <w:lang w:val="en-US" w:eastAsia="zh-CN"/>
          <w14:textFill>
            <w14:solidFill>
              <w14:schemeClr w14:val="accent2"/>
            </w14:solidFill>
          </w14:textFill>
        </w:rPr>
        <w:t>量发展</w:t>
      </w:r>
      <w:r>
        <w:rPr>
          <w:rFonts w:ascii="宋体" w:eastAsia="宋体" w:hAnsi="宋体" w:cs="宋体" w:hint="eastAsia"/>
          <w:b w:val="0"/>
          <w:bCs/>
          <w:color w:val="EE822F" w:themeColor="accent2"/>
          <w:sz w:val="21"/>
          <w:szCs w:val="21"/>
          <w14:textFill>
            <w14:solidFill>
              <w14:schemeClr w14:val="accent2"/>
            </w14:solidFill>
          </w14:textFill>
        </w:rPr>
        <w:t>的转变也要求施工现场管理由粗放型转</w:t>
      </w:r>
      <w:r>
        <w:rPr>
          <w:rFonts w:ascii="宋体" w:hAnsi="宋体" w:cs="宋体" w:hint="eastAsia"/>
          <w:b w:val="0"/>
          <w:bCs/>
          <w:color w:val="EE822F" w:themeColor="accent2"/>
          <w:sz w:val="21"/>
          <w:szCs w:val="21"/>
          <w:lang w:eastAsia="zh-CN"/>
          <w14:textFill>
            <w14:solidFill>
              <w14:schemeClr w14:val="accent2"/>
            </w14:solidFill>
          </w14:textFill>
        </w:rPr>
        <w:t>向精细型</w:t>
      </w:r>
      <w:r>
        <w:rPr>
          <w:rFonts w:ascii="宋体" w:eastAsia="宋体" w:hAnsi="宋体" w:cs="宋体" w:hint="eastAsia"/>
          <w:b w:val="0"/>
          <w:bCs/>
          <w:color w:val="EE822F" w:themeColor="accent2"/>
          <w:sz w:val="21"/>
          <w:szCs w:val="21"/>
          <w14:textFill>
            <w14:solidFill>
              <w14:schemeClr w14:val="accent2"/>
            </w14:solidFill>
          </w14:textFill>
        </w:rPr>
        <w:t>。但是实践</w:t>
      </w:r>
      <w:r>
        <w:rPr>
          <w:rFonts w:ascii="宋体" w:hAnsi="宋体" w:cs="宋体" w:hint="eastAsia"/>
          <w:b w:val="0"/>
          <w:bCs/>
          <w:color w:val="EE822F" w:themeColor="accent2"/>
          <w:sz w:val="21"/>
          <w:szCs w:val="21"/>
          <w:lang w:val="en-US" w:eastAsia="zh-CN"/>
          <w14:textFill>
            <w14:solidFill>
              <w14:schemeClr w14:val="accent2"/>
            </w14:solidFill>
          </w14:textFill>
        </w:rPr>
        <w:t>当中</w:t>
      </w:r>
      <w:r>
        <w:rPr>
          <w:rFonts w:ascii="宋体" w:eastAsia="宋体" w:hAnsi="宋体" w:cs="宋体" w:hint="eastAsia"/>
          <w:b w:val="0"/>
          <w:bCs/>
          <w:color w:val="EE822F" w:themeColor="accent2"/>
          <w:sz w:val="21"/>
          <w:szCs w:val="21"/>
          <w14:textFill>
            <w14:solidFill>
              <w14:schemeClr w14:val="accent2"/>
            </w14:solidFill>
          </w14:textFill>
        </w:rPr>
        <w:t>仍然存</w:t>
      </w:r>
      <w:r>
        <w:rPr>
          <w:rFonts w:ascii="宋体" w:hAnsi="宋体" w:cs="宋体" w:hint="eastAsia"/>
          <w:b w:val="0"/>
          <w:bCs/>
          <w:color w:val="EE822F" w:themeColor="accent2"/>
          <w:sz w:val="21"/>
          <w:szCs w:val="21"/>
          <w:lang w:val="en-US" w:eastAsia="zh-CN"/>
          <w14:textFill>
            <w14:solidFill>
              <w14:schemeClr w14:val="accent2"/>
            </w14:solidFill>
          </w14:textFill>
        </w:rPr>
        <w:t>在</w:t>
      </w:r>
      <w:r>
        <w:rPr>
          <w:rFonts w:ascii="宋体" w:eastAsia="宋体" w:hAnsi="宋体" w:cs="宋体" w:hint="eastAsia"/>
          <w:b w:val="0"/>
          <w:bCs/>
          <w:color w:val="EE822F" w:themeColor="accent2"/>
          <w:sz w:val="21"/>
          <w:szCs w:val="21"/>
          <w14:textFill>
            <w14:solidFill>
              <w14:schemeClr w14:val="accent2"/>
            </w14:solidFill>
          </w14:textFill>
        </w:rPr>
        <w:t>许多项目的招投标环节同施工现场环节相割裂的情</w:t>
      </w:r>
      <w:r>
        <w:rPr>
          <w:rFonts w:ascii="宋体" w:hAnsi="宋体" w:cs="宋体" w:hint="eastAsia"/>
          <w:b w:val="0"/>
          <w:bCs/>
          <w:color w:val="EE822F" w:themeColor="accent2"/>
          <w:sz w:val="21"/>
          <w:szCs w:val="21"/>
          <w:lang w:eastAsia="zh-CN"/>
          <w14:textFill>
            <w14:solidFill>
              <w14:schemeClr w14:val="accent2"/>
            </w14:solidFill>
          </w14:textFill>
        </w:rPr>
        <w:t>况，在</w:t>
      </w:r>
      <w:r>
        <w:rPr>
          <w:rFonts w:ascii="宋体" w:eastAsia="宋体" w:hAnsi="宋体" w:cs="宋体" w:hint="eastAsia"/>
          <w:b w:val="0"/>
          <w:bCs/>
          <w:color w:val="EE822F" w:themeColor="accent2"/>
          <w:sz w:val="21"/>
          <w:szCs w:val="21"/>
          <w14:textFill>
            <w14:solidFill>
              <w14:schemeClr w14:val="accent2"/>
            </w14:solidFill>
          </w14:textFill>
        </w:rPr>
        <w:t>进场施工之前，招标文件所规定的质量标准和技术要求以及合同的约定很难全部得到落实，施工过程中出现的变更、偏差和风险也不能被及时地纳入到招标以及合同的治理体系当中。</w:t>
      </w:r>
    </w:p>
    <w:p w14:paraId="0B1FA96D">
      <w:pPr>
        <w:keepNext/>
        <w:spacing w:before="240" w:after="12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hAnsi="宋体" w:cs="宋体" w:hint="eastAsia"/>
          <w:b w:val="0"/>
          <w:bCs/>
          <w:color w:val="EE822F" w:themeColor="accent2"/>
          <w:sz w:val="21"/>
          <w:szCs w:val="21"/>
          <w:lang w:val="en-US" w:eastAsia="zh-CN"/>
          <w14:textFill>
            <w14:solidFill>
              <w14:schemeClr w14:val="accent2"/>
            </w14:solidFill>
          </w14:textFill>
        </w:rPr>
        <w:t>1</w:t>
      </w:r>
      <w:r>
        <w:rPr>
          <w:rFonts w:ascii="宋体" w:eastAsia="宋体" w:hAnsi="宋体" w:cs="宋体" w:hint="eastAsia"/>
          <w:b w:val="0"/>
          <w:bCs/>
          <w:color w:val="EE822F" w:themeColor="accent2"/>
          <w:sz w:val="21"/>
          <w:szCs w:val="21"/>
          <w14:textFill>
            <w14:solidFill>
              <w14:schemeClr w14:val="accent2"/>
            </w14:solidFill>
          </w14:textFill>
        </w:rPr>
        <w:t>新形势下</w:t>
      </w:r>
      <w:r>
        <w:rPr>
          <w:rFonts w:ascii="宋体" w:hAnsi="宋体" w:cs="宋体" w:hint="eastAsia"/>
          <w:b w:val="0"/>
          <w:bCs/>
          <w:color w:val="EE822F" w:themeColor="accent2"/>
          <w:sz w:val="21"/>
          <w:szCs w:val="21"/>
          <w:lang w:eastAsia="zh-CN"/>
          <w14:textFill>
            <w14:solidFill>
              <w14:schemeClr w14:val="accent2"/>
            </w14:solidFill>
          </w14:textFill>
        </w:rPr>
        <w:t>房屋建筑与市政工程</w:t>
      </w:r>
      <w:r>
        <w:rPr>
          <w:rFonts w:ascii="宋体" w:eastAsia="宋体" w:hAnsi="宋体" w:cs="宋体" w:hint="eastAsia"/>
          <w:b w:val="0"/>
          <w:bCs/>
          <w:color w:val="EE822F" w:themeColor="accent2"/>
          <w:sz w:val="21"/>
          <w:szCs w:val="21"/>
          <w14:textFill>
            <w14:solidFill>
              <w14:schemeClr w14:val="accent2"/>
            </w14:solidFill>
          </w14:textFill>
        </w:rPr>
        <w:t>招投标与现场管理</w:t>
      </w:r>
      <w:r>
        <w:rPr>
          <w:rFonts w:ascii="宋体" w:hAnsi="宋体" w:cs="宋体" w:hint="eastAsia"/>
          <w:b w:val="0"/>
          <w:bCs/>
          <w:color w:val="EE822F" w:themeColor="accent2"/>
          <w:sz w:val="21"/>
          <w:szCs w:val="21"/>
          <w:lang w:val="en-US" w:eastAsia="zh-CN"/>
          <w14:textFill>
            <w14:solidFill>
              <w14:schemeClr w14:val="accent2"/>
            </w14:solidFill>
          </w14:textFill>
        </w:rPr>
        <w:t>协同</w:t>
      </w:r>
      <w:r>
        <w:rPr>
          <w:rFonts w:ascii="宋体" w:eastAsia="宋体" w:hAnsi="宋体" w:cs="宋体" w:hint="eastAsia"/>
          <w:b w:val="0"/>
          <w:bCs/>
          <w:color w:val="EE822F" w:themeColor="accent2"/>
          <w:sz w:val="21"/>
          <w:szCs w:val="21"/>
          <w14:textFill>
            <w14:solidFill>
              <w14:schemeClr w14:val="accent2"/>
            </w14:solidFill>
          </w14:textFill>
        </w:rPr>
        <w:t>的现实价值</w:t>
      </w:r>
    </w:p>
    <w:p w14:paraId="1B668305">
      <w:pPr>
        <w:keepNext/>
        <w:spacing w:before="120" w:after="6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1.1源头把关，筑牢质量与履约的双重防线</w:t>
      </w:r>
    </w:p>
    <w:p w14:paraId="5C260775">
      <w:pPr>
        <w:spacing w:before="0" w:after="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招标投标被称为工程的第一道关，其把关的作用不能停留在程序合法上，而应该对以后的履约有实质性的约束。招标文件对于技术标准、质量要求、分包管理、人员安排等各方面的规定，实际上是给工程施工时设定</w:t>
      </w:r>
      <w:r>
        <w:rPr>
          <w:rFonts w:ascii="宋体" w:hAnsi="宋体" w:cs="宋体" w:hint="eastAsia"/>
          <w:b w:val="0"/>
          <w:bCs/>
          <w:color w:val="EE822F" w:themeColor="accent2"/>
          <w:sz w:val="21"/>
          <w:szCs w:val="21"/>
          <w:lang w:val="en-US" w:eastAsia="zh-CN"/>
          <w14:textFill>
            <w14:solidFill>
              <w14:schemeClr w14:val="accent2"/>
            </w14:solidFill>
          </w14:textFill>
        </w:rPr>
        <w:t>了一</w:t>
      </w:r>
      <w:r>
        <w:rPr>
          <w:rFonts w:ascii="宋体" w:eastAsia="宋体" w:hAnsi="宋体" w:cs="宋体" w:hint="eastAsia"/>
          <w:b w:val="0"/>
          <w:bCs/>
          <w:color w:val="EE822F" w:themeColor="accent2"/>
          <w:sz w:val="21"/>
          <w:szCs w:val="21"/>
          <w14:textFill>
            <w14:solidFill>
              <w14:schemeClr w14:val="accent2"/>
            </w14:solidFill>
          </w14:textFill>
        </w:rPr>
        <w:t>道“</w:t>
      </w:r>
      <w:r>
        <w:rPr>
          <w:rFonts w:ascii="宋体" w:hAnsi="宋体" w:cs="宋体" w:hint="eastAsia"/>
          <w:b w:val="0"/>
          <w:bCs/>
          <w:color w:val="EE822F" w:themeColor="accent2"/>
          <w:sz w:val="21"/>
          <w:szCs w:val="21"/>
          <w:lang w:val="en-US" w:eastAsia="zh-CN"/>
          <w14:textFill>
            <w14:solidFill>
              <w14:schemeClr w14:val="accent2"/>
            </w14:solidFill>
          </w14:textFill>
        </w:rPr>
        <w:t>履</w:t>
      </w:r>
      <w:r>
        <w:rPr>
          <w:rFonts w:ascii="宋体" w:eastAsia="宋体" w:hAnsi="宋体" w:cs="宋体" w:hint="eastAsia"/>
          <w:b w:val="0"/>
          <w:bCs/>
          <w:color w:val="EE822F" w:themeColor="accent2"/>
          <w:sz w:val="21"/>
          <w:szCs w:val="21"/>
          <w14:textFill>
            <w14:solidFill>
              <w14:schemeClr w14:val="accent2"/>
            </w14:solidFill>
          </w14:textFill>
        </w:rPr>
        <w:t>约的</w:t>
      </w:r>
      <w:r>
        <w:rPr>
          <w:rFonts w:ascii="宋体" w:hAnsi="宋体" w:cs="宋体" w:hint="eastAsia"/>
          <w:b w:val="0"/>
          <w:bCs/>
          <w:color w:val="EE822F" w:themeColor="accent2"/>
          <w:sz w:val="21"/>
          <w:szCs w:val="21"/>
          <w:lang w:val="en-US" w:eastAsia="zh-CN"/>
          <w14:textFill>
            <w14:solidFill>
              <w14:schemeClr w14:val="accent2"/>
            </w14:solidFill>
          </w14:textFill>
        </w:rPr>
        <w:t>最低标准</w:t>
      </w:r>
      <w:r>
        <w:rPr>
          <w:rFonts w:ascii="宋体" w:eastAsia="宋体" w:hAnsi="宋体" w:cs="宋体" w:hint="eastAsia"/>
          <w:b w:val="0"/>
          <w:bCs/>
          <w:color w:val="EE822F" w:themeColor="accent2"/>
          <w:sz w:val="21"/>
          <w:szCs w:val="21"/>
          <w14:textFill>
            <w14:solidFill>
              <w14:schemeClr w14:val="accent2"/>
            </w14:solidFill>
          </w14:textFill>
        </w:rPr>
        <w:t>”。当这些源头设置可以同现场管理形成联动的时候，施工单位进场的行为就会有章可循，质量责任就有了可以依靠的依据，如果招投标同施工相脱离，那么文件中所作出的各种承诺就会成为“纸上承诺”，无法变成现场上的约束性规定，从而产生“低价中标、高价变更”、“中标靠低价、履约靠扯皮”的种种乱象</w:t>
      </w:r>
      <w:r>
        <w:rPr>
          <w:rFonts w:ascii="宋体" w:eastAsia="宋体" w:hAnsi="宋体" w:cs="宋体" w:hint="eastAsia"/>
          <w:b w:val="0"/>
          <w:bCs/>
          <w:color w:val="EE822F" w:themeColor="accent2"/>
          <w:sz w:val="21"/>
          <w:szCs w:val="21"/>
          <w:vertAlign w:val="superscript"/>
          <w:lang w:val="en-US" w:eastAsia="zh-CN"/>
          <w14:textFill>
            <w14:solidFill>
              <w14:schemeClr w14:val="accent2"/>
            </w14:solidFill>
          </w14:textFill>
        </w:rPr>
        <w:t>[1]</w:t>
      </w:r>
      <w:r>
        <w:rPr>
          <w:rFonts w:ascii="宋体" w:eastAsia="宋体" w:hAnsi="宋体" w:cs="宋体" w:hint="eastAsia"/>
          <w:b w:val="0"/>
          <w:bCs/>
          <w:color w:val="EE822F" w:themeColor="accent2"/>
          <w:sz w:val="21"/>
          <w:szCs w:val="21"/>
          <w14:textFill>
            <w14:solidFill>
              <w14:schemeClr w14:val="accent2"/>
            </w14:solidFill>
          </w14:textFill>
        </w:rPr>
        <w:t>。</w:t>
      </w:r>
    </w:p>
    <w:p w14:paraId="6311F3E9">
      <w:pPr>
        <w:spacing w:before="0" w:after="0" w:line="360" w:lineRule="auto"/>
        <w:ind w:firstLine="420" w:firstLineChars="200"/>
        <w:rPr>
          <w:rFonts w:ascii="宋体" w:eastAsia="宋体" w:hAnsi="宋体" w:cs="宋体" w:hint="default"/>
          <w:b w:val="0"/>
          <w:bCs/>
          <w:color w:val="EE822F" w:themeColor="accent2"/>
          <w:sz w:val="21"/>
          <w:szCs w:val="21"/>
          <w:lang w:val="en-US" w:eastAsia="zh-CN"/>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这样的闭环即是以标促施，以施验标，减少了整个周期的不确定性以及交易成本，并且也给监管部门提供了一条完整的监管途径。由此可见，协同就是管理方式的整合，也是治理逻辑的重组，协同是工程建设治理能力提升的总体目标。如图1所示，招投标阶段和施工现场阶段主要是依靠契</w:t>
      </w:r>
      <w:r>
        <w:rPr>
          <w:rFonts w:ascii="宋体" w:hAnsi="宋体" w:cs="宋体" w:hint="eastAsia"/>
          <w:b w:val="0"/>
          <w:bCs/>
          <w:color w:val="EE822F" w:themeColor="accent2"/>
          <w:sz w:val="21"/>
          <w:szCs w:val="21"/>
          <w:lang w:eastAsia="zh-CN"/>
          <w14:textFill>
            <w14:solidFill>
              <w14:schemeClr w14:val="accent2"/>
            </w14:solidFill>
          </w14:textFill>
        </w:rPr>
        <w:t>约衔接、</w:t>
      </w:r>
      <w:r>
        <w:rPr>
          <w:rFonts w:ascii="宋体" w:eastAsia="宋体" w:hAnsi="宋体" w:cs="宋体" w:hint="eastAsia"/>
          <w:b w:val="0"/>
          <w:bCs/>
          <w:color w:val="EE822F" w:themeColor="accent2"/>
          <w:sz w:val="21"/>
          <w:szCs w:val="21"/>
          <w14:textFill>
            <w14:solidFill>
              <w14:schemeClr w14:val="accent2"/>
            </w14:solidFill>
          </w14:textFill>
        </w:rPr>
        <w:t>信息互通、责任传递、考核联动这四条纽带来达到对整个建设周期的协同闭环。反向校验对于投资控制来说十分直接，在投资控制中体现最为明显的是同一个地区、同一种类项目造价和工期的数据沉淀后进行对比，可以给新项目招标控制价的确定以及施工方案的优化给予有力的参照，经验判断也慢慢转变为数据治理。</w:t>
      </w:r>
    </w:p>
    <w:p w14:paraId="3E840951">
      <w:pPr>
        <w:spacing w:before="0" w:after="0" w:line="360" w:lineRule="auto"/>
        <w:ind w:firstLine="420" w:firstLineChars="200"/>
        <w:rPr>
          <w:rFonts w:ascii="宋体" w:eastAsia="宋体" w:hAnsi="宋体" w:cs="宋体" w:hint="eastAsia"/>
          <w:b w:val="0"/>
          <w:bCs/>
          <w:color w:val="EE822F" w:themeColor="accent2"/>
          <w:sz w:val="21"/>
          <w:szCs w:val="21"/>
          <w:vertAlign w:val="superscript"/>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激励约束的“空转”使各方参与协同的积极性受到抑制，已经存在的制度安排也只停留在纸面上，并不能产生持续的促使机制运转的动力。当履约优劣不会对当期收益造成影响，也不会影响到后续的投标时，各个主体就缺少了提高履约能力的动力，现场控制更多的依靠个体自觉，协同机制运转也失去了一根连续的支撑。</w:t>
      </w:r>
      <w:r>
        <w:rPr>
          <w:rFonts w:ascii="宋体" w:eastAsia="宋体" w:hAnsi="宋体" w:cs="宋体" w:hint="eastAsia"/>
          <w:b w:val="0"/>
          <w:bCs/>
          <w:color w:val="EE822F" w:themeColor="accent2"/>
          <w:sz w:val="21"/>
          <w:szCs w:val="21"/>
          <w:vertAlign w:val="superscript"/>
          <w:lang w:val="en-US" w:eastAsia="zh-CN"/>
          <w14:textFill>
            <w14:solidFill>
              <w14:schemeClr w14:val="accent2"/>
            </w14:solidFill>
          </w14:textFill>
        </w:rPr>
        <w:t>[</w:t>
      </w:r>
      <w:r>
        <w:rPr>
          <w:rFonts w:ascii="宋体" w:hAnsi="宋体" w:cs="宋体" w:hint="eastAsia"/>
          <w:b w:val="0"/>
          <w:bCs/>
          <w:color w:val="EE822F" w:themeColor="accent2"/>
          <w:sz w:val="21"/>
          <w:szCs w:val="21"/>
          <w:vertAlign w:val="superscript"/>
          <w:lang w:val="en-US" w:eastAsia="zh-CN"/>
          <w14:textFill>
            <w14:solidFill>
              <w14:schemeClr w14:val="accent2"/>
            </w14:solidFill>
          </w14:textFill>
        </w:rPr>
        <w:t>4</w:t>
      </w:r>
      <w:r>
        <w:rPr>
          <w:rFonts w:ascii="宋体" w:eastAsia="宋体" w:hAnsi="宋体" w:cs="宋体" w:hint="eastAsia"/>
          <w:b w:val="0"/>
          <w:bCs/>
          <w:color w:val="EE822F" w:themeColor="accent2"/>
          <w:sz w:val="21"/>
          <w:szCs w:val="21"/>
          <w:vertAlign w:val="superscript"/>
          <w:lang w:val="en-US" w:eastAsia="zh-CN"/>
          <w14:textFill>
            <w14:solidFill>
              <w14:schemeClr w14:val="accent2"/>
            </w14:solidFill>
          </w14:textFill>
        </w:rPr>
        <w:t>]</w:t>
      </w:r>
    </w:p>
    <w:p w14:paraId="6D80C15A">
      <w:pPr>
        <w:keepNext/>
        <w:spacing w:before="240" w:after="12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hAnsi="宋体" w:cs="宋体" w:hint="eastAsia"/>
          <w:b w:val="0"/>
          <w:bCs/>
          <w:color w:val="EE822F" w:themeColor="accent2"/>
          <w:sz w:val="21"/>
          <w:szCs w:val="21"/>
          <w:lang w:val="en-US" w:eastAsia="zh-CN"/>
          <w14:textFill>
            <w14:solidFill>
              <w14:schemeClr w14:val="accent2"/>
            </w14:solidFill>
          </w14:textFill>
        </w:rPr>
        <w:t>3</w:t>
      </w:r>
      <w:r>
        <w:rPr>
          <w:rFonts w:ascii="宋体" w:eastAsia="宋体" w:hAnsi="宋体" w:cs="宋体" w:hint="eastAsia"/>
          <w:b w:val="0"/>
          <w:bCs/>
          <w:color w:val="EE822F" w:themeColor="accent2"/>
          <w:sz w:val="21"/>
          <w:szCs w:val="21"/>
          <w14:textFill>
            <w14:solidFill>
              <w14:schemeClr w14:val="accent2"/>
            </w14:solidFill>
          </w14:textFill>
        </w:rPr>
        <w:t>新形势下</w:t>
      </w:r>
      <w:r>
        <w:rPr>
          <w:rFonts w:ascii="宋体" w:hAnsi="宋体" w:cs="宋体" w:hint="eastAsia"/>
          <w:b w:val="0"/>
          <w:bCs/>
          <w:color w:val="EE822F" w:themeColor="accent2"/>
          <w:sz w:val="21"/>
          <w:szCs w:val="21"/>
          <w:lang w:eastAsia="zh-CN"/>
          <w14:textFill>
            <w14:solidFill>
              <w14:schemeClr w14:val="accent2"/>
            </w14:solidFill>
          </w14:textFill>
        </w:rPr>
        <w:t>房屋建筑与市政工程</w:t>
      </w:r>
      <w:r>
        <w:rPr>
          <w:rFonts w:ascii="宋体" w:eastAsia="宋体" w:hAnsi="宋体" w:cs="宋体" w:hint="eastAsia"/>
          <w:b w:val="0"/>
          <w:bCs/>
          <w:color w:val="EE822F" w:themeColor="accent2"/>
          <w:sz w:val="21"/>
          <w:szCs w:val="21"/>
          <w14:textFill>
            <w14:solidFill>
              <w14:schemeClr w14:val="accent2"/>
            </w14:solidFill>
          </w14:textFill>
        </w:rPr>
        <w:t>招投标与现场管理</w:t>
      </w:r>
      <w:r>
        <w:rPr>
          <w:rFonts w:ascii="宋体" w:hAnsi="宋体" w:cs="宋体" w:hint="eastAsia"/>
          <w:b w:val="0"/>
          <w:bCs/>
          <w:color w:val="EE822F" w:themeColor="accent2"/>
          <w:sz w:val="21"/>
          <w:szCs w:val="21"/>
          <w:lang w:val="en-US" w:eastAsia="zh-CN"/>
          <w14:textFill>
            <w14:solidFill>
              <w14:schemeClr w14:val="accent2"/>
            </w14:solidFill>
          </w14:textFill>
        </w:rPr>
        <w:t>协同</w:t>
      </w:r>
      <w:r>
        <w:rPr>
          <w:rFonts w:ascii="宋体" w:eastAsia="宋体" w:hAnsi="宋体" w:cs="宋体" w:hint="eastAsia"/>
          <w:b w:val="0"/>
          <w:bCs/>
          <w:color w:val="EE822F" w:themeColor="accent2"/>
          <w:sz w:val="21"/>
          <w:szCs w:val="21"/>
          <w14:textFill>
            <w14:solidFill>
              <w14:schemeClr w14:val="accent2"/>
            </w14:solidFill>
          </w14:textFill>
        </w:rPr>
        <w:t>机制构建路径</w:t>
      </w:r>
    </w:p>
    <w:p w14:paraId="1198D933">
      <w:pPr>
        <w:spacing w:before="0" w:after="0" w:line="360" w:lineRule="auto"/>
        <w:ind w:firstLine="420" w:firstLineChars="200"/>
        <w:rPr>
          <w:rFonts w:ascii="宋体" w:eastAsia="宋体" w:hAnsi="宋体" w:cs="宋体" w:hint="eastAsia"/>
          <w:b w:val="0"/>
          <w:bCs/>
          <w:color w:val="EE822F" w:themeColor="accent2"/>
          <w:sz w:val="21"/>
          <w:szCs w:val="21"/>
          <w:vertAlign w:val="superscript"/>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立足于当前市场现场一体化、全过程闭环监管的新形势，按照住建部门两场联动监管政策的要求，构建标前协同谋划、标中协同管控、标后协同履约、全程信用联动、问题闭环处置的一体化协同管理机制，使招投标管理同施工现场控制深度融合、无缝对接。</w:t>
      </w:r>
      <w:r>
        <w:rPr>
          <w:rFonts w:ascii="宋体" w:eastAsia="宋体" w:hAnsi="宋体" w:cs="宋体" w:hint="eastAsia"/>
          <w:b w:val="0"/>
          <w:bCs/>
          <w:color w:val="EE822F" w:themeColor="accent2"/>
          <w:sz w:val="21"/>
          <w:szCs w:val="21"/>
          <w:vertAlign w:val="superscript"/>
          <w:lang w:val="en-US" w:eastAsia="zh-CN"/>
          <w14:textFill>
            <w14:solidFill>
              <w14:schemeClr w14:val="accent2"/>
            </w14:solidFill>
          </w14:textFill>
        </w:rPr>
        <w:t>[</w:t>
      </w:r>
      <w:r>
        <w:rPr>
          <w:rFonts w:ascii="宋体" w:hAnsi="宋体" w:cs="宋体" w:hint="eastAsia"/>
          <w:b w:val="0"/>
          <w:bCs/>
          <w:color w:val="EE822F" w:themeColor="accent2"/>
          <w:sz w:val="21"/>
          <w:szCs w:val="21"/>
          <w:vertAlign w:val="superscript"/>
          <w:lang w:val="en-US" w:eastAsia="zh-CN"/>
          <w14:textFill>
            <w14:solidFill>
              <w14:schemeClr w14:val="accent2"/>
            </w14:solidFill>
          </w14:textFill>
        </w:rPr>
        <w:t>5</w:t>
      </w:r>
      <w:r>
        <w:rPr>
          <w:rFonts w:ascii="宋体" w:eastAsia="宋体" w:hAnsi="宋体" w:cs="宋体" w:hint="eastAsia"/>
          <w:b w:val="0"/>
          <w:bCs/>
          <w:color w:val="EE822F" w:themeColor="accent2"/>
          <w:sz w:val="21"/>
          <w:szCs w:val="21"/>
          <w:vertAlign w:val="superscript"/>
          <w:lang w:val="en-US" w:eastAsia="zh-CN"/>
          <w14:textFill>
            <w14:solidFill>
              <w14:schemeClr w14:val="accent2"/>
            </w14:solidFill>
          </w14:textFill>
        </w:rPr>
        <w:t>]</w:t>
      </w:r>
    </w:p>
    <w:p w14:paraId="05B6C3C4">
      <w:pPr>
        <w:keepNext/>
        <w:spacing w:before="120" w:after="6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3.1以契约衔接为纽带，织密源头履约的责任闭环</w:t>
      </w:r>
    </w:p>
    <w:p w14:paraId="7239502F">
      <w:pPr>
        <w:spacing w:before="0" w:after="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协同要落地，首先要从契约上打好基础。第一，推行标后交底制度化，合同签订后、进场施工前，组织招标人、造价工程师、监理工程师、施工企业等相关人员参加合同交底，对合同中技术标准、计价规则、变更程序及责任界限进行详细的说明，让招标承诺在施工前就“人人明白、处处有章可循”。第三，落实履约责任到人、到岗，把合同目标分解成可以考核的责任，每一个环节都有明确的责任主体，从源头上确定履约承诺，使责任闭环更加完整。交底形式应该把抽象的条款变成现场可以执行的操作规范，编制交底纪要作为履约依据；责任分解可以将重要的节点、里程碑目标写入合同附件，保证各方知道谁在何时、对什么目标负什么责任。</w:t>
      </w:r>
    </w:p>
    <w:p w14:paraId="3C635188">
      <w:pPr>
        <w:keepNext/>
        <w:spacing w:before="120" w:after="60" w:line="360" w:lineRule="auto"/>
        <w:ind w:firstLine="420" w:firstLineChars="200"/>
        <w:rPr>
          <w:rFonts w:ascii="宋体" w:eastAsia="宋体" w:hAnsi="宋体" w:cs="宋体" w:hint="eastAsia"/>
          <w:b w:val="0"/>
          <w:bCs/>
          <w:color w:val="EE822F" w:themeColor="accent2"/>
          <w:sz w:val="21"/>
          <w:szCs w:val="21"/>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3.2以数字平台为载体，打通全过程的信息经络</w:t>
      </w:r>
    </w:p>
    <w:p w14:paraId="2BD93AAC">
      <w:pPr>
        <w:spacing w:before="0" w:after="0" w:line="360" w:lineRule="auto"/>
        <w:ind w:firstLine="420" w:firstLineChars="200"/>
        <w:rPr>
          <w:rFonts w:ascii="宋体" w:eastAsia="宋体" w:hAnsi="宋体" w:cs="宋体" w:hint="eastAsia"/>
          <w:b w:val="0"/>
          <w:bCs/>
          <w:color w:val="EE822F" w:themeColor="accent2"/>
          <w:sz w:val="21"/>
          <w:szCs w:val="21"/>
          <w:vertAlign w:val="superscript"/>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数字化给解决信息孤岛提供了一种方法。以“一网统管”为依托创建协同平台，将招标、合同、进度、质量、安全、变更等各方面的数据纳入同一个管理体系中，保证全过程的信息只录入一次，各个部门可以共享使用，给现场管控提供即时、完整的决策依据。在此基础上建立预警联动机制，现场数据与合同约定或者设定的阈值发生偏离的时候，立即发出警示并进入处理程序，把问题控制在萌芽状态，依托平台实现全生命周期留痕，每一个变更、每一次验收都可以被追踪、被复核。数字平台的作用不仅仅是提高效率，更多的是把“合同怎样约定，现场怎样执行”时刻摆在眼前，成为可以被对照、可以被校验的“信息经络”。平台应该开放必要的访问权限给招标监督和现场检查共用一个数据底座，可以减少重复填报，也可以让整个过程的合规情况一目了然，给事中事后监管赋予连续的证据链。</w:t>
      </w:r>
      <w:r>
        <w:rPr>
          <w:rFonts w:ascii="宋体" w:eastAsia="宋体" w:hAnsi="宋体" w:cs="宋体" w:hint="eastAsia"/>
          <w:b w:val="0"/>
          <w:bCs/>
          <w:color w:val="EE822F" w:themeColor="accent2"/>
          <w:sz w:val="21"/>
          <w:szCs w:val="21"/>
          <w:vertAlign w:val="superscript"/>
          <w:lang w:val="en-US" w:eastAsia="zh-CN"/>
          <w14:textFill>
            <w14:solidFill>
              <w14:schemeClr w14:val="accent2"/>
            </w14:solidFill>
          </w14:textFill>
        </w:rPr>
        <w:t>[6]</w:t>
      </w:r>
    </w:p>
    <w:p w14:paraId="0FC36AEF">
      <w:pPr>
        <w:keepNext/>
        <w:spacing w:before="240" w:after="120" w:line="360" w:lineRule="auto"/>
        <w:ind w:firstLine="420" w:firstLineChars="200"/>
        <w:rPr>
          <w:rFonts w:ascii="宋体" w:eastAsia="宋体" w:hAnsi="宋体" w:cs="宋体" w:hint="eastAsia"/>
          <w:b w:val="0"/>
          <w:bCs/>
          <w:color w:val="EE822F" w:themeColor="accent2"/>
          <w:sz w:val="21"/>
          <w:szCs w:val="21"/>
          <w:lang w:eastAsia="zh-CN"/>
          <w14:textFill>
            <w14:solidFill>
              <w14:schemeClr w14:val="accent2"/>
            </w14:solidFill>
          </w14:textFill>
        </w:rPr>
      </w:pPr>
      <w:r>
        <w:rPr>
          <w:rFonts w:ascii="宋体" w:eastAsia="宋体" w:hAnsi="宋体" w:cs="宋体" w:hint="eastAsia"/>
          <w:b w:val="0"/>
          <w:bCs/>
          <w:color w:val="EE822F" w:themeColor="accent2"/>
          <w:sz w:val="21"/>
          <w:szCs w:val="21"/>
          <w14:textFill>
            <w14:solidFill>
              <w14:schemeClr w14:val="accent2"/>
            </w14:solidFill>
          </w14:textFill>
        </w:rPr>
        <w:t>结语</w:t>
      </w:r>
      <w:r>
        <w:rPr>
          <w:rFonts w:ascii="宋体" w:hAnsi="宋体" w:cs="宋体" w:hint="eastAsia"/>
          <w:b w:val="0"/>
          <w:bCs/>
          <w:color w:val="EE822F" w:themeColor="accent2"/>
          <w:sz w:val="21"/>
          <w:szCs w:val="21"/>
          <w:lang w:eastAsia="zh-CN"/>
          <w14:textFill>
            <w14:solidFill>
              <w14:schemeClr w14:val="accent2"/>
            </w14:solidFill>
          </w14:textFill>
        </w:rPr>
        <w:t>：</w:t>
      </w:r>
    </w:p>
    <w:p w14:paraId="4E755E66">
      <w:r>
        <w:rPr>
          <w:rFonts w:ascii="宋体" w:eastAsia="宋体" w:hAnsi="宋体" w:cs="宋体" w:hint="eastAsia"/>
          <w:b w:val="0"/>
          <w:bCs/>
          <w:color w:val="EE822F" w:themeColor="accent2"/>
          <w:sz w:val="21"/>
          <w:szCs w:val="21"/>
          <w14:textFill>
            <w14:solidFill>
              <w14:schemeClr w14:val="accent2"/>
            </w14:solidFill>
          </w14:textFill>
        </w:rPr>
        <w:t>新形势下的房屋建筑和市政工程施工管理已经彻底摆脱了过去招投标与现场分段割裂的模式，市场和现场双管齐下、全过程协同管控已成为实现建筑行业高质量发展的重要途径。招投标管理属于源头的规范，施工现场为成果的落地提供保障，二者互相促进、缺</w:t>
      </w:r>
      <w:r>
        <w:rPr>
          <w:rFonts w:ascii="宋体" w:hAnsi="宋体" w:cs="宋体" w:hint="eastAsia"/>
          <w:b w:val="0"/>
          <w:bCs/>
          <w:color w:val="EE822F" w:themeColor="accent2"/>
          <w:sz w:val="21"/>
          <w:szCs w:val="21"/>
          <w:lang w:eastAsia="zh-CN"/>
          <w14:textFill>
            <w14:solidFill>
              <w14:schemeClr w14:val="accent2"/>
            </w14:solidFill>
          </w14:textFill>
        </w:rPr>
        <w:t>一</w:t>
      </w:r>
      <w:r>
        <w:rPr>
          <w:rFonts w:ascii="宋体" w:eastAsia="宋体" w:hAnsi="宋体" w:cs="宋体" w:hint="eastAsia"/>
          <w:b w:val="0"/>
          <w:bCs/>
          <w:color w:val="EE822F" w:themeColor="accent2"/>
          <w:sz w:val="21"/>
          <w:szCs w:val="21"/>
          <w14:textFill>
            <w14:solidFill>
              <w14:schemeClr w14:val="accent2"/>
            </w14:solidFill>
          </w14:textFill>
        </w:rPr>
        <w:t>不可，本应是同频</w:t>
      </w:r>
      <w:r>
        <w:rPr>
          <w:rFonts w:ascii="宋体" w:hAnsi="宋体" w:cs="宋体" w:hint="eastAsia"/>
          <w:b w:val="0"/>
          <w:bCs/>
          <w:color w:val="EE822F" w:themeColor="accent2"/>
          <w:sz w:val="21"/>
          <w:szCs w:val="21"/>
          <w:lang w:eastAsia="zh-CN"/>
          <w14:textFill>
            <w14:solidFill>
              <w14:schemeClr w14:val="accent2"/>
            </w14:solidFill>
          </w14:textFill>
        </w:rPr>
        <w:t>共</w:t>
      </w:r>
      <w:r>
        <w:rPr>
          <w:rFonts w:ascii="宋体" w:eastAsia="宋体" w:hAnsi="宋体" w:cs="宋体" w:hint="eastAsia"/>
          <w:b w:val="0"/>
          <w:bCs/>
          <w:color w:val="EE822F" w:themeColor="accent2"/>
          <w:sz w:val="21"/>
          <w:szCs w:val="21"/>
          <w14:textFill>
            <w14:solidFill>
              <w14:schemeClr w14:val="accent2"/>
            </w14:solidFill>
          </w14:textFill>
        </w:rPr>
        <w:t>振。协同机制的建立不是增加多少制度外壳的问题，而是要让源头的承诺和过程的执行在每一个环节真正地合拍。契约衔接、数字平台、协同考核和风险预控最终的目的都是把责任落实到人，把信息贯通起来，把风险盯住。</w:t>
      </w:r>
    </w:p>
    <w:p w14:paraId="79915182">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69361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Times New Roman" w:eastAsia="宋体" w:hAnsi="Times New Roman" w:cstheme="minorBidi"/>
      <w:sz w:val="21"/>
      <w:szCs w:val="22"/>
      <w:lang w:val="en-US" w:eastAsia="en-US"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Pseudo-</cp:lastModifiedBy>
  <cp:revision>0</cp:revision>
  <dcterms:created xsi:type="dcterms:W3CDTF">2026-10-28T07:20:38Z</dcterms:created>
  <dcterms:modified xsi:type="dcterms:W3CDTF">2026-10-28T07:20:48Z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261FD7AED5184D799E4D9D169F78AFE6_12</vt:lpwstr>
  </property>
  <property fmtid="{D5CDD505-2E9C-101B-9397-08002B2CF9AE}" pid="3" name="KSOProductBuildVer">
    <vt:lpwstr>2052-12.1.0.29161</vt:lpwstr>
  </property>
  <property fmtid="{D5CDD505-2E9C-101B-9397-08002B2CF9AE}" pid="4" name="KSOTemplateDocerSaveRecord">
    <vt:lpwstr>eyJoZGlkIjoiYzVlNmU1MzViNTQzZmMzMzAwOGZiZWMxYmQzOTA4MDciLCJ1c2VySWQiOiI0MDM3OTY2MzAifQ==</vt:lpwstr>
  </property>
</Properties>
</file>