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39F05BA5">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rPr>
      </w:pPr>
      <w:r>
        <w:rPr>
          <w:rFonts w:hint="eastAsia"/>
        </w:rPr>
        <w:t>二、以平台载体集聚优质要素，搭建创新协同空间枢纽</w:t>
      </w:r>
    </w:p>
    <w:p w14:paraId="3F4B2F7C">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rPr>
      </w:pPr>
      <w:r>
        <w:rPr>
          <w:rFonts w:hint="eastAsia"/>
        </w:rPr>
        <w:t>数字平台是数字经济时代创新要素重新组合的主要组织载体，“平台+企业”新型市场模式的出现使过去以线下市场零散对接为主的创新资源的获取模式发生改变，也形成了一个以网络化创新协同枢纽为中心的创新空间。数字平台是多边市场交流的媒介，可以减少市场主体间的交易成本，依靠网络效应集聚产业链上下游的各种创新主体，打通各个主体间的沟通渠道，从而达到创新要素的大规模集聚。</w:t>
      </w:r>
    </w:p>
    <w:p w14:paraId="365CDB62">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rPr>
      </w:pPr>
      <w:r>
        <w:rPr>
          <w:rFonts w:hint="eastAsia"/>
        </w:rPr>
        <w:t>各种创新主体借助数字平台把自身链接起来，促使分工模式发生改变，向着网络化、柔性化的方向发展，众包研发、开源协作等新型的创新组织形式也越来越多。大量的科研人才、技术成果、研发设备这些创新资源被平台所集中起来，企业不需要把全部的创新活动都交给内部的研发力量来完成，根据创新项目的实际需要，在平台上找到符合自己需求的专业化创新力量进行对接，达到内外创新资源的统筹调度。平台环境使得市场主体间的竞争越来越激烈，示范效应也越来越明显，市场竞争使创新要素流向效率高的企业。好的创新资源不断地向着创新能力更强的市场主体聚集，低效的市场主体存量创新资源有序地流转再配置。数字平台已经不是简单的信息交互载体，它变成了一个连接产学研用各方主体的枢纽，使创新要素得以实现集聚、匹配和流动，提高创新资源的空间集聚和协同利用效率。</w:t>
      </w:r>
    </w:p>
    <w:p w14:paraId="0294C311">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rPr>
      </w:pPr>
      <w:r>
        <w:rPr>
          <w:rFonts w:hint="eastAsia"/>
        </w:rPr>
        <w:t>三、以数据赋能优化供需匹配，完善创新资源调度机制</w:t>
      </w:r>
    </w:p>
    <w:p w14:paraId="36B8B19D">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rPr>
      </w:pPr>
      <w:r>
        <w:rPr>
          <w:rFonts w:hint="eastAsia"/>
        </w:rPr>
        <w:t>信息摩擦是引起创新资源供需错配的主要原因。阿里研究院2019年相关数据显示，市场需求预测的准确性在上世纪70年代达到90%以上的峰值之后，到20世纪90年代、21世纪初下降到40%到60%左右，供需错配造成大量的创新资源被白白浪费。数据是新的生产要素，以规模报酬递增、非竞争性和可复制为特点，给解决创新资源错配难题赋予了主要办法。2024年1月，国家数据局等十七个部门印发了《数据要素×》行动计划（2024-2026），提出要充分发挥数据要素乘数效应，使数据同传统生产要素深度融合。</w:t>
      </w:r>
    </w:p>
    <w:p w14:paraId="614D8376">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rPr>
      </w:pPr>
      <w:r>
        <w:rPr>
          <w:rFonts w:hint="eastAsia"/>
        </w:rPr>
        <w:t>依托“数据、算法、算力”打造的大模型系统，市场主体可以对研发、生产、市场等各方面数据加以搜集整理并加以分析，使创新决策由原来的依靠经验试错，转变为模拟选择的智能决策方式。在创新链条的前端，利用对市场需求数据进行挖掘，找到现实以及未来的需求点，从而引导技术的发展方向，从产业链协同角度来讲，打通供应链的全链条数据流，消除“牛鞭效应”造成的信息失真，达到创新供给和市场需求精准对接的目的。数据要素借助转换倍增、融合互补、集约替代、复用增效这几种途径来提升资本、人才和技术等传统创新要素，改善要素投入的结构。同时业务流程全部数字化提高了企业内部的信息透明度，使由于委托代理所导致的资源错配问题得到缓解，数据支撑的创新资源调配系统被创建起来，提升创新资源的利用精准度。</w:t>
      </w:r>
    </w:p>
    <w:p w14:paraId="000C9AD3">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rPr>
      </w:pPr>
      <w:r>
        <w:rPr>
          <w:rFonts w:hint="eastAsia"/>
        </w:rPr>
        <w:t>四、以业态迭代拓展应用场景，释放创新空间溢出效能</w:t>
      </w:r>
    </w:p>
    <w:p w14:paraId="42740E2E">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rPr>
      </w:pPr>
      <w:r>
        <w:rPr>
          <w:rFonts w:hint="eastAsia"/>
        </w:rPr>
        <w:t>创新的价值不能由单一的应用场景来实现，而应该有各种各样的应用场景来实现创新价值。伴随着数字化转型的不断推进，涌现出一系列新的产业形态、新的商业模式，诸如在线研发、数字孪生、智能仿真实验室等新的技术应用正在不断涌现出来，给技术成果转化落地提供了更大的空间。2017年国务院印发了《新一代人工智能发展规划》，我国的智能化产业正在进入快速发展的阶段，人工智能技术的更新换代，让数字技术赋能创新活动的空间也越来越大。</w:t>
      </w:r>
    </w:p>
    <w:p w14:paraId="2DAB215D">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rPr>
      </w:pPr>
      <w:r>
        <w:rPr>
          <w:rFonts w:hint="eastAsia"/>
        </w:rPr>
        <w:t>党的二十届三中全会要求推进数字经济同实体经济深度融合，实现技术革命性的突破，生产要素的重新配置，产业的全面升级转型。十五五规划提出推进数字中国建设，大力实施“人工智能+”战略，使数字化智能化能力全面融入到制造业、现代农业、现代服务业全产业链当中。实体经济各个领域的数字化改造不断产生许多真实的应用场景，一方面给前沿数字技术提供试验、迭代的土壤，加快技术成果的产业化落地，另一方面创新成果也被场景所应用，从而带动周边产业、区域内的其它产业的发展。创新的空间溢出不再只是地理上的相邻地区，依靠数字网络可以实现跨行业、跨区域的传播，进而提高整个区域内创新资源的利用效率，提高创新资源的综合社会效益。</w:t>
      </w:r>
    </w:p>
    <w:p w14:paraId="7AFF0C5F">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rPr>
      </w:pPr>
      <w:r>
        <w:rPr>
          <w:rFonts w:hint="eastAsia"/>
        </w:rPr>
        <w:t>结束语</w:t>
      </w:r>
    </w:p>
    <w:p w14:paraId="2768E7F0">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rPr>
        <w:t>数字经济重塑创新资源在空间上配置的方式，就是依靠数字技术冲破物理空间的限制，重新塑造要素流动、集聚、匹配、外溢的一整套运行机制。数字联通打破地域壁垒，数字平台搭建协同枢纽，数据要素矫正供需错配，多场景释放溢出效应，多种机制共同发力，使创新资源的配置由局部调整走向全局最优。但是数字赋能创新资源配置效率的发挥还要依靠新型基础设施打牢基础、关键核心技术攻破、数据标准体系健全、数据治理能力提升。只有把新型基础设施的硬件底座打牢、关键核心技术攻关取得突破、数据标准体系健全、数据治理体系完善结合起来，数字经济的优势才能充分释放出来，各种创新要素才能高效流动、科学配置，为我国的现代化建设源源不断提供新的动力。</w:t>
      </w:r>
    </w:p>
    <w:p w14:paraId="612025EA">
      <w:bookmarkStart w:id="0" w:name="_GoBack"/>
      <w:bookmarkEnd w:id="0"/>
    </w:p>
    <w:sectPr>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887764C"/>
    <w:rsid w:val="3887764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semiHidden/>
    <w:qFormat/>
  </w:style>
  <w:style w:type="table" w:default="1" w:styleId="TableNormal">
    <w:name w:val="Normal Table"/>
    <w:semiHidden/>
    <w:qFormat/>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随心</dc:creator>
  <cp:lastModifiedBy>随心</cp:lastModifiedBy>
  <cp:revision>1</cp:revision>
  <dcterms:created xsi:type="dcterms:W3CDTF">2026-10-28T03:59:00Z</dcterms:created>
  <dcterms:modified xsi:type="dcterms:W3CDTF">2026-10-28T03:59:41Z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6CB907CB47C24C9BA5D44AA326F5CBED_11</vt:lpwstr>
  </property>
  <property fmtid="{D5CDD505-2E9C-101B-9397-08002B2CF9AE}" pid="3" name="KSOProductBuildVer">
    <vt:lpwstr>2052-12.1.0.29161</vt:lpwstr>
  </property>
  <property fmtid="{D5CDD505-2E9C-101B-9397-08002B2CF9AE}" pid="4" name="KSOTemplateDocerSaveRecord">
    <vt:lpwstr>eyJoZGlkIjoiN2RmMTg0NjY2MjdmMjc4ZmM3ZDA2ZTc3MTcxYTdlYzMiLCJ1c2VySWQiOiIyODQ0MDcyNjcifQ==</vt:lpwstr>
  </property>
</Properties>
</file>