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0F5AE7C">
      <w:pPr>
        <w:spacing w:line="360" w:lineRule="auto"/>
        <w:rPr>
          <w:rFonts w:asciiTheme="minorEastAsia" w:eastAsiaTheme="minorEastAsia" w:hAnsiTheme="minorEastAsia" w:cstheme="minorEastAsia" w:hint="eastAsia"/>
          <w:sz w:val="28"/>
          <w:szCs w:val="36"/>
        </w:rPr>
      </w:pPr>
      <w:r>
        <w:rPr>
          <w:rFonts w:hint="eastAsia"/>
        </w:rPr>
        <w:t>作者简介：</w:t>
      </w:r>
      <w:r>
        <w:rPr>
          <w:rFonts w:hint="eastAsia"/>
          <w:lang w:val="en-US" w:eastAsia="zh-CN"/>
        </w:rPr>
        <w:t>彭德华（</w:t>
      </w:r>
      <w:r>
        <w:rPr>
          <w:rFonts w:hint="eastAsia"/>
        </w:rPr>
        <w:t>197</w:t>
      </w:r>
      <w:r>
        <w:rPr>
          <w:rFonts w:hint="eastAsia"/>
          <w:lang w:val="en-US" w:eastAsia="zh-CN"/>
        </w:rPr>
        <w:t>6-1）</w:t>
      </w:r>
      <w:r>
        <w:rPr>
          <w:rFonts w:hint="eastAsia"/>
        </w:rPr>
        <w:t>男</w:t>
      </w:r>
      <w:r>
        <w:rPr>
          <w:rFonts w:hint="eastAsia"/>
          <w:lang w:eastAsia="zh-CN"/>
        </w:rPr>
        <w:t>、</w:t>
      </w:r>
      <w:r>
        <w:rPr>
          <w:rFonts w:hint="eastAsia"/>
          <w:lang w:val="en-US" w:eastAsia="zh-CN"/>
        </w:rPr>
        <w:t>苗族、</w:t>
      </w:r>
      <w:r>
        <w:rPr>
          <w:rFonts w:hint="eastAsia"/>
        </w:rPr>
        <w:t>贵州</w:t>
      </w:r>
      <w:r>
        <w:rPr>
          <w:rFonts w:hint="eastAsia"/>
          <w:lang w:val="en-US" w:eastAsia="zh-CN"/>
        </w:rPr>
        <w:t>丹寨人、本科、工程师、</w:t>
      </w:r>
      <w:r>
        <w:rPr>
          <w:rFonts w:hint="eastAsia"/>
        </w:rPr>
        <w:t>研究方向：</w:t>
      </w:r>
      <w:r>
        <w:rPr>
          <w:rFonts w:hint="eastAsia"/>
          <w:lang w:val="en-US" w:eastAsia="zh-CN"/>
        </w:rPr>
        <w:t>高标准农田建设。</w:t>
      </w:r>
    </w:p>
    <w:p w14:paraId="5BC209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sz w:val="28"/>
          <w:szCs w:val="36"/>
        </w:rPr>
      </w:pPr>
      <w:r>
        <w:rPr>
          <w:rFonts w:asciiTheme="minorEastAsia" w:eastAsiaTheme="minorEastAsia" w:hAnsiTheme="minorEastAsia" w:cstheme="minorEastAsia" w:hint="eastAsia"/>
          <w:sz w:val="28"/>
          <w:szCs w:val="36"/>
        </w:rPr>
        <w:t>高标准农田建设视角下灌溉与排水工程改造问题及对策研究</w:t>
      </w:r>
    </w:p>
    <w:p w14:paraId="70308079">
      <w:pPr>
        <w:ind w:firstLine="3600" w:firstLineChars="1500"/>
        <w:rPr>
          <w:rFonts w:hint="eastAsia"/>
          <w:sz w:val="24"/>
          <w:szCs w:val="32"/>
          <w:lang w:val="en-US" w:eastAsia="zh-CN"/>
        </w:rPr>
      </w:pPr>
    </w:p>
    <w:p w14:paraId="3E09B335">
      <w:pPr>
        <w:ind w:firstLine="3600" w:firstLineChars="1500"/>
        <w:rPr>
          <w:rFonts w:hint="eastAsia"/>
          <w:sz w:val="24"/>
          <w:szCs w:val="32"/>
          <w:lang w:val="en-US" w:eastAsia="zh-CN"/>
        </w:rPr>
      </w:pPr>
      <w:r>
        <w:rPr>
          <w:rFonts w:hint="eastAsia"/>
          <w:sz w:val="24"/>
          <w:szCs w:val="32"/>
          <w:lang w:val="en-US" w:eastAsia="zh-CN"/>
        </w:rPr>
        <w:t>彭德华</w:t>
      </w:r>
    </w:p>
    <w:p w14:paraId="248332B2">
      <w:pPr>
        <w:ind w:firstLine="3600" w:firstLineChars="1500"/>
        <w:rPr>
          <w:rFonts w:hint="eastAsia"/>
          <w:sz w:val="24"/>
          <w:szCs w:val="32"/>
          <w:lang w:val="en-US" w:eastAsia="zh-CN"/>
        </w:rPr>
      </w:pPr>
    </w:p>
    <w:p w14:paraId="116B6185">
      <w:pPr>
        <w:ind w:firstLine="2160" w:firstLineChars="900"/>
        <w:rPr>
          <w:rFonts w:hint="eastAsia"/>
          <w:sz w:val="24"/>
          <w:szCs w:val="32"/>
        </w:rPr>
      </w:pPr>
      <w:r>
        <w:rPr>
          <w:rFonts w:hint="eastAsia"/>
          <w:sz w:val="24"/>
          <w:szCs w:val="32"/>
          <w:lang w:val="en-US" w:eastAsia="zh-CN"/>
        </w:rPr>
        <w:t>丹寨</w:t>
      </w:r>
      <w:r>
        <w:rPr>
          <w:rFonts w:hint="eastAsia"/>
          <w:sz w:val="24"/>
          <w:szCs w:val="32"/>
        </w:rPr>
        <w:t>县农业农村局</w:t>
      </w:r>
      <w:r>
        <w:rPr>
          <w:rFonts w:hint="eastAsia"/>
          <w:sz w:val="24"/>
          <w:szCs w:val="32"/>
          <w:lang w:val="en-US" w:eastAsia="zh-CN"/>
        </w:rPr>
        <w:t>贵州丹寨</w:t>
      </w:r>
      <w:r>
        <w:rPr>
          <w:rFonts w:hint="eastAsia"/>
          <w:sz w:val="24"/>
          <w:szCs w:val="32"/>
        </w:rPr>
        <w:t>55</w:t>
      </w:r>
      <w:r>
        <w:rPr>
          <w:rFonts w:hint="eastAsia"/>
          <w:sz w:val="24"/>
          <w:szCs w:val="32"/>
          <w:lang w:val="en-US" w:eastAsia="zh-CN"/>
        </w:rPr>
        <w:t>75</w:t>
      </w:r>
      <w:r>
        <w:rPr>
          <w:rFonts w:hint="eastAsia"/>
          <w:sz w:val="24"/>
          <w:szCs w:val="32"/>
        </w:rPr>
        <w:t>00</w:t>
      </w:r>
    </w:p>
    <w:p w14:paraId="44AFAA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p>
    <w:p w14:paraId="52D95F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摘要</w:t>
      </w:r>
      <w:r>
        <w:rPr>
          <w:rFonts w:ascii="宋体" w:eastAsia="宋体" w:hAnsi="宋体" w:cs="宋体" w:hint="eastAsia"/>
          <w:color w:val="0000FF"/>
          <w:lang w:eastAsia="zh-CN"/>
        </w:rPr>
        <w:t>：</w:t>
      </w:r>
      <w:r>
        <w:rPr>
          <w:rFonts w:ascii="宋体" w:eastAsia="宋体" w:hAnsi="宋体" w:cs="宋体" w:hint="eastAsia"/>
          <w:color w:val="0000FF"/>
        </w:rPr>
        <w:t>立足于丹寨县山丘区耕地分布特点及已有的建设情况，对灌排工程的发展状况以及存在的不足进行梳理，从灌溉输水保障、排涝渍害防治、节水生态协同这三个方面剖析灌排工程改造的难题，给出符合县域自然条件的灌排系统升级方案。按照灌排一体化布局统筹规划、分级排涝防护体系建立、节水生态协同改造推进，从提高水资源利用率和保护农田生态环境的角度出发，为县域高标准农田灌排工程标准化改造提供操作上的借鉴。</w:t>
      </w:r>
    </w:p>
    <w:p w14:paraId="6A94A0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关键词：高标准农田；灌排工程；设施改造；丹寨县</w:t>
      </w:r>
    </w:p>
    <w:p w14:paraId="449747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p>
    <w:p w14:paraId="18899D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引言</w:t>
      </w:r>
      <w:r>
        <w:rPr>
          <w:rFonts w:ascii="宋体" w:eastAsia="宋体" w:hAnsi="宋体" w:cs="宋体" w:hint="eastAsia"/>
          <w:color w:val="0000FF"/>
          <w:lang w:eastAsia="zh-CN"/>
        </w:rPr>
        <w:t>：</w:t>
      </w:r>
      <w:r>
        <w:rPr>
          <w:rFonts w:ascii="宋体" w:eastAsia="宋体" w:hAnsi="宋体" w:cs="宋体" w:hint="eastAsia"/>
          <w:color w:val="0000FF"/>
        </w:rPr>
        <w:t>现代农业集约化发展促使耕地基础设施发生转变，由原来的粗放型农业耕作方式向节水高效型精细生产方式转变，为粮食生产提供基本的保障。灌溉排水工程起着农田蓄水防旱防涝的主要作用，设施是否完好直接影响到耕地抗灾能力及水资源利用率。丹寨县位于黔东南山地丘陵地带，耕地分散成片、地形起伏大，目前灌排工程大多修建于不同的时期，建设标准不一，长时间使用之后，由于设施老化、淤积渗漏等问题逐渐暴露出来，灌溉保证率以及排涝能力不能完全满足稳产高产的需求，加快灌排工程的改造升级是县域高标准农田建设的迫切需要。</w:t>
      </w:r>
    </w:p>
    <w:p w14:paraId="647699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1丹寨县高标准农田灌排工程建设现状</w:t>
      </w:r>
    </w:p>
    <w:p w14:paraId="29C08E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丹寨县位于亚热带季风湿润气候区，年均降雨量较多但是时空分布非常不均，汛期降雨占全年总雨量的七成以上，春旱、伏旱、短时强降雨交替出现，给农田灌排系统的调节能力提出了双重要求。按照贵州省人民政府对丹寨县国土空间总体规划（2021-2035年）的批复，丹寨县耕地保有量不低于17.87万亩，永久基本农田保护面积不低于15.37万亩，耕地零散分布于山间坝子和缓坡上，万亩以上集中坝区较少，千亩以下零星坝地占八成以上，破碎的耕地格局给灌排工程规模化布局造成客观的制约。</w:t>
      </w:r>
    </w:p>
    <w:p w14:paraId="68BE3F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近些年来，丹寨县一直大力推进高标准农田建设，不断扩大高标准农田建设的覆盖面和高标准农田设施水平。到2025年12月，全县建成高标准农田7.2万亩，主要的粮油生产片区有兴仁镇、扬武镇、龙泉镇、金泉街道等，耕地质量及抗灾能力不断改善。2023-2025年三年来，全县共新建及提升高标准农田5万亩，配套建设了灌溉排水、田间道路、土壤改良等农田基础设施，2023年新建项目新增排水工程3.19万米、渠系建筑物107座，项目完工后区域田间灌溉率由原来的56%提高到现在的69.6%，道路通达率也同步提高，粮食生产基础条件不断得到改善。</w:t>
      </w:r>
    </w:p>
    <w:p w14:paraId="41B0C0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县域灌排系统大多依地形起伏而建，在山区小块零星耕地大多以小型塘坝作为水源节点，土渠、预制渠串联田间地块，在坝区连片耕地则以主干渠系为依托形成比较完整的灌排网。现有灌溉渠道以传统的土渠为主，防渗衬砌渠道多集中于连片坝区，在丘陵地区大部分田间输水渠道是由农户自行修建，标准不一，连通性差。排涝系统基本沿用自然冲沟与人工土沟相结合的原生模式，主干排水沟只做过阶段性的清淤和边坡培整，田间节制闸、分水闸等调节设施覆盖率低，分区水位调节能力差。高效节水灌溉近年新建项目大多采用低压管道和滴灌等设施，单年度项目新增高效节水灌溉面积0.2万亩左右，但是总体上覆盖面小，大面积粮油主产区主要使用传统的地面灌溉。</w:t>
      </w:r>
    </w:p>
    <w:p w14:paraId="472812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随着不断的建设，县域灌排条件已有阶段性的提高，抗旱排涝的能力不断加强，但是由于地形条件、建设成本等客观原因，设施标准的区域差异仍然较大，坝区和山区灌排保障水平相差较大，集中连片地块和零散耕地的灌排保障水平差距大，距离旱涝保收、节水高效的目标还有一定的提升空间，灌排工程改造升级依然是现阶段高标准农田建设的主要任务。</w:t>
      </w:r>
    </w:p>
    <w:p w14:paraId="7B8450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2丹寨县灌排工程改造面临的现实问题</w:t>
      </w:r>
    </w:p>
    <w:p w14:paraId="21D632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2.1长期运行下的输水设施老化渗漏问题突出</w:t>
      </w:r>
    </w:p>
    <w:p w14:paraId="7E69B0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目前灌排渠系主要是上世纪末和本世纪初修建的，由于建设时的标准和投入水平的限制，大部分渠道没有防渗衬砌。多年水流冲刷、冻融风化使渠身破损、边坡坍塌严重，输水渗漏损耗大，山区部分渠道的输水利用系数不到0.55。配套提水泵站大都使用十年以上，电机、水泵部件老化、磨损严重，运行效率低、故障率高，且地形高差大、输水线路长，高处和偏远地块供水稳定性无法得到保证</w:t>
      </w:r>
      <w:r>
        <w:rPr>
          <w:rFonts w:ascii="宋体" w:eastAsia="宋体" w:hAnsi="宋体" w:cs="宋体" w:hint="eastAsia"/>
          <w:color w:val="0000FF"/>
          <w:vertAlign w:val="superscript"/>
          <w:lang w:val="en-US" w:eastAsia="zh-CN"/>
        </w:rPr>
        <w:t>[1]</w:t>
      </w:r>
      <w:r>
        <w:rPr>
          <w:rFonts w:ascii="宋体" w:eastAsia="宋体" w:hAnsi="宋体" w:cs="宋体" w:hint="eastAsia"/>
          <w:color w:val="0000FF"/>
        </w:rPr>
        <w:t>。塘坝是山丘区的主要调蓄节点，淤泥沉积、坝体破损、涵管堵塞等现象较多，汛期调蓄效果差，伏旱期间供水不足，使季节性供水缺口变大。</w:t>
      </w:r>
    </w:p>
    <w:p w14:paraId="0F9A0E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2.2缺少分级规划的排涝体系标准偏低</w:t>
      </w:r>
    </w:p>
    <w:p w14:paraId="3FA0FC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县域田间排水多为灌排合一的土沟，没有根据服务范围进行分级布置，年年淤积泥沙、滋生杂草，排水断面不断收窄，排水能力逐年下降。现有的工程一般按照5年一遇暴雨设计，对于近几年多次出现的极端强降雨，由于山丘区汇流快、低洼坝区蓄水面积小，山丘区汇流快、低洼坝区蓄水面积小的弱点被放大了，暴雨过后排水不畅，地下水位长时间高于安全标准，土壤渍害的可能性较大。大部分沟渠边坡无防护，暴雨冲刷容易造成边坡的坍塌和堵塞，配套调节设施较少，不能分区域调控田间的水位，水田和旱地排水需求的差异不能被满足，雨涝年份耕地减产压力大。</w:t>
      </w:r>
    </w:p>
    <w:p w14:paraId="7E2BD2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2.3节水与生态配套的覆盖范围有限</w:t>
      </w:r>
    </w:p>
    <w:p w14:paraId="13BF2C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传统的水稻、小麦等粮油主产区大水漫灌仍是灌溉的主要方式，喷灌、滴灌、低压管道等高效节水灌溉设施没有得到大面积的普及，缺少精准控水的配套设备，水资源浪费现象没有得到根本的改变。目前灌排工程建设以满足供水、排涝基本功能为主，没有同时建立生态缓冲设施，农田径流所携带的化肥、农药残留直接流入到自然水体中，缺少工程载体的面源污染防治</w:t>
      </w:r>
      <w:r>
        <w:rPr>
          <w:rFonts w:ascii="宋体" w:eastAsia="宋体" w:hAnsi="宋体" w:cs="宋体" w:hint="eastAsia"/>
          <w:color w:val="0000FF"/>
          <w:vertAlign w:val="superscript"/>
          <w:lang w:val="en-US" w:eastAsia="zh-CN"/>
        </w:rPr>
        <w:t>[2]</w:t>
      </w:r>
      <w:r>
        <w:rPr>
          <w:rFonts w:ascii="宋体" w:eastAsia="宋体" w:hAnsi="宋体" w:cs="宋体" w:hint="eastAsia"/>
          <w:color w:val="0000FF"/>
        </w:rPr>
        <w:t>。沟渠、塘坝大多为硬质或者原生土坡，没有经过生态化的改造，水体自净能力差，塘底淤泥中的养分通过排水流走造成养分流失，也对下游水环境造成一定的影响。</w:t>
      </w:r>
    </w:p>
    <w:p w14:paraId="42CB48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3丹寨县高标准农田灌排工程改造的优化路径</w:t>
      </w:r>
    </w:p>
    <w:p w14:paraId="6025FB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3.1统筹灌排一体化布局，系统性提升输水保障能力</w:t>
      </w:r>
    </w:p>
    <w:p w14:paraId="1BDE0E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把灌排改造作为高标准农田建设的总体架构的一部分，实现水源调蓄、输配水管网和田间地块的规划协调，打通从水源到田地的完整输水渠道。根据县域地形特点和耕地分布情况，按照不同设施的标准及规模进行规划，达到灌排能力同生产需要相适应的目的。就山丘区耕地分散特点而言，实行“主干渠系+塘坝调蓄+田间管网”的长藤结瓜式建设模式，以主干输水渠为主干，把沿线的塘坝、蓄水池等调蓄点串连起来，再用田间末级渠系和低压管道覆盖零散的田块，形成一条长藤输水、瓜点调蓄、管网送水的网格化输水网络，破解了碎片化耕地输水的难题。</w:t>
      </w:r>
    </w:p>
    <w:p w14:paraId="2CF732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山丘区分散耕地优先进行塘坝清淤扩容及坝体加固工作，清除底部淤积层，整修破损的坝体，增设进出水涵管及启闭设施，挖掘小水源的调蓄作用，保证枯水期不间断供水。泵站改造根据服务片区耕地数量、地形起伏及输水距离对设备进行合理配置，更换老设备，提高运行效率和供水可靠性，同时配套输变电设施的改造，保证泵站供电的稳定，在泵站周围修建简易管护房和备品备件存放点，</w:t>
      </w:r>
      <w:bookmarkStart w:id="0" w:name="_GoBack"/>
      <w:bookmarkEnd w:id="0"/>
      <w:r>
        <w:rPr>
          <w:rFonts w:ascii="宋体" w:eastAsia="宋体" w:hAnsi="宋体" w:cs="宋体" w:hint="eastAsia"/>
          <w:color w:val="0000FF"/>
        </w:rPr>
        <w:t>保证充足的检修空间，提高日常维修及抢修效率，延长设备使用寿命。渠系改造以防渗加固为原则，根据渠道等级及输水流量来选择合适的衬砌形式，主干渠用现浇混凝土提高抗冲刷能力，田间支渠用预制件提高效率和成本</w:t>
      </w:r>
      <w:r>
        <w:rPr>
          <w:rFonts w:ascii="宋体" w:eastAsia="宋体" w:hAnsi="宋体" w:cs="宋体" w:hint="eastAsia"/>
          <w:color w:val="0000FF"/>
          <w:vertAlign w:val="superscript"/>
          <w:lang w:val="en-US" w:eastAsia="zh-CN"/>
        </w:rPr>
        <w:t>[3]</w:t>
      </w:r>
      <w:r>
        <w:rPr>
          <w:rFonts w:ascii="宋体" w:eastAsia="宋体" w:hAnsi="宋体" w:cs="宋体" w:hint="eastAsia"/>
          <w:color w:val="0000FF"/>
        </w:rPr>
        <w:t>。同步建设渠系配套建筑物，在损坏的分水闸、渡槽、涵管上做修缮工作，在干支渠交汇处设置流量调节设施，保证各个片区的用水合理调配，减少上下游的用水矛盾。</w:t>
      </w:r>
    </w:p>
    <w:p w14:paraId="11A234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3.2构建分级设防排涝体系，强化田间渍害全链条防控</w:t>
      </w:r>
    </w:p>
    <w:p w14:paraId="1994E6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排涝改造是分级设防、梯次排水的设计思想，根据不同沟渠服务范围有差异地确定沟渠建设标准，代替传统的全区域同质化建设方式。主干大沟服务千亩以上的连片耕地，承担片区主要排水任务，提高设计标准可以保证暴雨时排水顺畅，田间中小沟直接服务于单块田块，兼顾建设成本与实际需要，保持合理的建设标准。整体改造主要以暴雨过后迅速降低地下水位为最终目的，不能让作物根系长时间处在湿度过高的环境中造成渍害。</w:t>
      </w:r>
    </w:p>
    <w:p w14:paraId="40BB44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根据坡耕地所占比例高这一特点，建立“坡面截流—田间导排—沟渠消纳”三级排涝系统，坡耕地沿等高线挖截流沟和沉沙池，截流坡面径流、沉淀泥沙，排水沟接下去进入下游渠系，从源头减少泥沙进入沟渠及田间积水压力。沟渠走向与自然地势相适应，减少人工开挖对原有径流格局的干扰，缩减土方工程量的同时又保持了天然汇水通道的生态功能，减小了对农田微生态的影响。坝区平缓规整地块先实行灌排分离，灌溉渠和排水沟分别成网，功能互不干扰，提高系统的运转效率；地形受限的小块地块可以保留灌排合一的格局，并且设置配套闸门以达到功能切换的目的。灌排分离改造主要对水旱轮作区进行改造，稻作期关闭排水闸保持田间水层，旱作期全开排水闸迅速降渍，大大提高了茬口转换的速度，给稻油、稻蔬轮作提供设施保障。</w:t>
      </w:r>
    </w:p>
    <w:p w14:paraId="3AF1B0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同步完善节制闸、排水闸、路涵等附属构筑物，沿主干沟分段设节制闸，可按作物种类单独调节沟内水位，保证各作物不同的生产要求；低洼易涝地块外侧修筑环田截水沟，拦截周边坡地汇入的客水直接排入主干排水渠道，防止客水进入田间造成内涝。低洼渍害田建设暗管排水系统，在地表以下设置渗滤管，把土壤深处的积水排入排水沟渠，降低地表水位和地下水位，有利于改善土壤潜育化，提高耕地质量。利用主干排水沟整治沿线废弃塘堰、低洼地块改建成生态调蓄塘，暴雨时期临时储存径流错峰排放，缓解排涝压力，也能节约旱季灌溉用水。</w:t>
      </w:r>
    </w:p>
    <w:p w14:paraId="70D781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3.3推进节水生态协同改造，支撑农田绿色转型发展</w:t>
      </w:r>
    </w:p>
    <w:p w14:paraId="1795B6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节水设施改造以片区种植结构和地形条件为依据，选择合适的设施，保证设施的匹配度和使用效率。对连片的粮油主产区大力推广低压管道灌溉系统，管材埋设在冻土层以下，地面设给水栓以耕作区为单位，操作方便，符合农户传统的耕作方式，可减少输水漏失及占用土地，并且适合于农机田间作业。同步进行田间技术指导，保证设施的正确使用、日常保养，提高设施利用率，延长设施寿命。经济作物集中片区建设滴灌系统，使水、肥直接输送到作物根部，减少地表蒸发以及深层渗漏，并且配备简易水肥一体化装置，根据作物各个生长阶段的养分需求来施肥，能减少化肥用量，还能提高养分的利用率，从源头减少面源污染负荷。丘陵缓坡地块依靠自然高差发展自压灌溉，依靠地形的高差给输水提供动力，可以节省长期运行的费用。之后可以逐步在田间设置墒情、水文监测设备，并按照合理的密度布置，根据作物各生育期需要水量的不同来调节输水流量和灌溉时间，达到按需精准供水的目的。</w:t>
      </w:r>
    </w:p>
    <w:p w14:paraId="4E47D5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生态配套改造灌排工程全过程设置多级缓冲设施达到径流逐级截留净化的目的。以“一沟多能、一塘多用”为理念创建生态灌排体系，沟渠边坡采用生态化的护砌，分段栽植不同的本土植物，上段用耐冲刷草本固坡拦沙，中段栽种挺水植物吸附氮磷，下段种沉水植物深入净化，形成一个阶梯式的水质净化链，坡脚种耐湿灌木形成立体植被缓冲带，可以防冲又可以拦沙，对径流中的泥沙和污染物有拦截作用。塘坝护岸采用斜坡式生态建设模式，在滨岸带创建乔灌草复合植被缓冲带，浅水区设生态种植带栽种芦苇、香蒲等水生植物，深水区保持自然水深形态，并设置生态浮岛供水生生物栖息，全方位改善水体自净效果。</w:t>
      </w:r>
    </w:p>
    <w:p w14:paraId="48A3B1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沟渠出水口设消力池、跌水坎等消能设施来减缓水流速度，保护下游水体岸线不被冲刷破坏；水流经过消能后流入末端的人工湿地，以沸石、陶粒等基质过滤、植物吸附、微生物降解的方式对农田退水进行深度处理后排入周边的河湖，有效地削减了面源污染给自然水体带来的危害。塘坝清理出来的淤泥集中堆肥、无害化处理后再返田使用，配以秸秆还田、测土配方施肥的方式改善土壤团粒结构，给耕地补充有机质，达到养分资源再利用和地力提升的目的。施工阶段合理规划专用运输线路，不得进入林区、湿地等生态敏感地带；施工过程产生的生产废水经过沉淀池沉淀后再循环使用，把工程建设造成的生态干扰降到最低。</w:t>
      </w:r>
    </w:p>
    <w:p w14:paraId="78D229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lang w:val="en-US" w:eastAsia="zh-CN"/>
        </w:rPr>
        <w:t>4</w:t>
      </w:r>
      <w:r>
        <w:rPr>
          <w:rFonts w:ascii="宋体" w:eastAsia="宋体" w:hAnsi="宋体" w:cs="宋体" w:hint="eastAsia"/>
          <w:color w:val="0000FF"/>
        </w:rPr>
        <w:t>结语</w:t>
      </w:r>
    </w:p>
    <w:p w14:paraId="4EC45E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0000FF"/>
        </w:rPr>
      </w:pPr>
      <w:r>
        <w:rPr>
          <w:rFonts w:ascii="宋体" w:eastAsia="宋体" w:hAnsi="宋体" w:cs="宋体" w:hint="eastAsia"/>
          <w:color w:val="0000FF"/>
        </w:rPr>
        <w:t>丹寨县属于典型的山丘区县，灌排工程改造是高标准农田建设的主要抓手，也是耕地质量提升、粮食生产安全的基础工程。立足县域耕地碎片化、降水空间分布不均的自然条件，以解决灌溉、排水体系问题为方向开展灌排体系的更新，要补齐输水、排涝的设施短板，夯实旱涝保收的硬件支撑，还要做到节水增效与生态保护并重，推进农田建设朝着绿色高质量发展。经过一系列的改造之后逐渐形成具有山地农业特点的灌排工程，可以不断筑牢县域粮食安全的根基，给现代山地特色高效农业的发展赋予有力的水利支撑，也能给其他山丘区县灌排工程改造给予可以参照的实践思路。</w:t>
      </w:r>
    </w:p>
    <w:p w14:paraId="302A84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p>
    <w:p w14:paraId="3CA5B2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参考文献：</w:t>
      </w:r>
    </w:p>
    <w:p w14:paraId="7CC4A7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[1]张敏瑾.高标准农田建设背景下灌溉与排水工程改造分析[J].低碳世界,2026,16(6):62-64.</w:t>
      </w:r>
    </w:p>
    <w:p w14:paraId="538E96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lang w:val="en-US" w:eastAsia="zh-CN"/>
        </w:rPr>
        <w:t>2</w:t>
      </w:r>
      <w:r>
        <w:rPr>
          <w:rFonts w:asciiTheme="minorEastAsia" w:eastAsiaTheme="minorEastAsia" w:hAnsiTheme="minorEastAsia" w:cstheme="minorEastAsia" w:hint="eastAsia"/>
        </w:rPr>
        <w:t>]安皓源.高标准农田灌溉排水工程设计与施工[J].黑龙江水利科技,2025,53(6):176-179.</w:t>
      </w:r>
    </w:p>
    <w:p w14:paraId="1E7F1B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lang w:val="en-US" w:eastAsia="zh-CN"/>
        </w:rPr>
        <w:t>3</w:t>
      </w:r>
      <w:r>
        <w:rPr>
          <w:rFonts w:asciiTheme="minorEastAsia" w:eastAsiaTheme="minorEastAsia" w:hAnsiTheme="minorEastAsia" w:cstheme="minorEastAsia" w:hint="eastAsia"/>
        </w:rPr>
        <w:t>]贾娟.高标准农田建设中节水灌溉技术的应用[J].农村实用技术,2025,(11):96-97.</w:t>
      </w:r>
    </w:p>
    <w:p w14:paraId="1D3D3E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p>
    <w:p w14:paraId="32F401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88879B7"/>
    <w:rsid w:val="0CBD3F08"/>
    <w:rsid w:val="0EAD1F27"/>
    <w:rsid w:val="1C786059"/>
    <w:rsid w:val="210F6C8F"/>
    <w:rsid w:val="26923F90"/>
    <w:rsid w:val="27AF723A"/>
    <w:rsid w:val="2DA853E0"/>
    <w:rsid w:val="32095AD8"/>
    <w:rsid w:val="3E971F97"/>
    <w:rsid w:val="42E41064"/>
    <w:rsid w:val="439C504D"/>
    <w:rsid w:val="45A52028"/>
    <w:rsid w:val="561033F7"/>
    <w:rsid w:val="58A63F7E"/>
    <w:rsid w:val="59FA1B1D"/>
    <w:rsid w:val="5F8F6A96"/>
    <w:rsid w:val="634061C5"/>
    <w:rsid w:val="724C377E"/>
    <w:rsid w:val="734D0695"/>
    <w:rsid w:val="758B2E0C"/>
    <w:rsid w:val="770447CE"/>
    <w:rsid w:val="775D6E9D"/>
    <w:rsid w:val="7D312E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10</TotalTime>
  <Pages>6</Pages>
  <Words>4716</Words>
  <Characters>4879</Characters>
  <Application>Microsoft Office Word</Application>
  <DocSecurity>0</DocSecurity>
  <Lines>0</Lines>
  <Paragraphs>0</Paragraphs>
  <ScaleCrop>false</ScaleCrop>
  <Company/>
  <LinksUpToDate>false</LinksUpToDate>
  <CharactersWithSpaces>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LZW</cp:lastModifiedBy>
  <cp:revision>0</cp:revision>
  <dcterms:created xsi:type="dcterms:W3CDTF">2026-07-06T00:56:00Z</dcterms:created>
  <dcterms:modified xsi:type="dcterms:W3CDTF">2026-10-27T13:30:29Z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5CBCF5BB685D4E27BED02C22729B54AA_12</vt:lpwstr>
  </property>
  <property fmtid="{D5CDD505-2E9C-101B-9397-08002B2CF9AE}" pid="3" name="KSOProductBuildVer">
    <vt:lpwstr>2052-12.1.0.29158</vt:lpwstr>
  </property>
  <property fmtid="{D5CDD505-2E9C-101B-9397-08002B2CF9AE}" pid="4" name="KSOTemplateDocerSaveRecord">
    <vt:lpwstr>eyJoZGlkIjoiYjliNGU1MDU5OTVlZTMyNDI4OGIwY2FmMjJmODI2YmYiLCJ1c2VySWQiOiIzMTM0ODA4NDEifQ==</vt:lpwstr>
  </property>
</Properties>
</file>