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7CFA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</w:rPr>
        <w:t>摘要：</w:t>
      </w:r>
      <w:r>
        <w:rPr>
          <w:rFonts w:ascii="Times New Roman" w:eastAsia="宋体" w:hAnsi="Times New Roman" w:cs="宋体" w:hint="eastAsia"/>
        </w:rPr>
        <w:t>以长三角地区面积为18.4万平方米的住宅小区为研究对象，整理出装配式构件、铝模体系、外围护节能、水资源循环利用和扬尘噪声控制等绿色施工工艺的应用情况，利用实测数据计算节材、节水、节能、减排效果。建筑垃圾减少到每万平方米238吨左右，施工用水量减少到原来的31.5%以下，增量成本占总造价的2.8%左右，静态回收期约为3.1年。</w:t>
      </w:r>
    </w:p>
    <w:p w14:paraId="06564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</w:rPr>
        <w:t>关键词： 绿色施工；住宅工程；装配式；铝模板；围护结构节能</w:t>
      </w:r>
    </w:p>
    <w:p w14:paraId="73802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</w:rPr>
        <w:t>住宅在新建建筑中所占比例最大，施工阶段的资源浪费和污染排放一直很高。按传统现浇工艺计算，每万平方米住宅产生的建筑垃圾一般都大于500吨。2023年实施的建筑与市政工程绿色施工评价标准（GB/T 50640-2023）把控制重心提前到施工策划阶段，对于住宅项目的指标要求也更加具体。工程中很多地方仍然只是依靠围挡喷淋、裸土覆盖等表面手段，没有与结构体系、材料选取、工序安排进行系统的协同。因此选取已经竣工的二星级绿色建筑住宅工程作为研究对象，从技术措施、实施参数、实测数据三个层次逐层分析，希望得到可以复核的量化证据。</w:t>
      </w:r>
    </w:p>
    <w:p w14:paraId="52C9A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  <w:lang w:val="en-US" w:eastAsia="zh-CN"/>
        </w:rPr>
      </w:pPr>
      <w:r>
        <w:rPr>
          <w:rFonts w:ascii="Times New Roman" w:eastAsia="宋体" w:hAnsi="Times New Roman" w:cs="宋体" w:hint="eastAsia"/>
          <w:lang w:val="en-US" w:eastAsia="zh-CN"/>
        </w:rPr>
        <w:t>一、工程概况</w:t>
      </w:r>
    </w:p>
    <w:p w14:paraId="49F3B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</w:rPr>
        <w:t>项目位于江苏省一地级市，场地平坦，地下水位埋深约1.8米。小区共有12栋27-33层高层住宅和2栋配套用房，均为剪力墙结构，抗震设防烈度为7度。2021年3月开始建设，2023年1月完成竣工，实际工期比合同工期提前三个月。项目按照《绿色建筑评价标准》（GB/T 50378-2019）二星级的标准进行建设，施工期间依照GB/T 50640—2023的规定执行绿色施工，主要参数如表1所示。</w:t>
      </w:r>
    </w:p>
    <w:p w14:paraId="00514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</w:rPr>
        <w:t>项目部成立绿色施工领导小组，以项目经理为组长，技术组、物资组、环保组三个小组分别负责节材、节水、节能、节地、环保五项指标的分解。编制绿色施工专项方案并组织专家论证后编制钢筋损耗率、混凝土损耗率、单位面积用水量等12个控制值写入分包合同，超过的部分按差额从结算款中扣除。物资组每月对物资使用情况进行统计汇总，技术组每季度对施工过程中目标值的达标情况进行一次全面复盘，对目标值未达标或偏差较大的工序由专项组现场整改并再次复核。</w:t>
      </w:r>
    </w:p>
    <w:p w14:paraId="60D438FE">
      <w:pPr>
        <w:rPr>
          <w:rFonts w:eastAsia="宋体" w:hint="eastAsia"/>
          <w:lang w:val="en-US" w:eastAsia="zh-CN"/>
        </w:rPr>
      </w:pPr>
    </w:p>
    <w:p w14:paraId="148D2D40">
      <w:pPr>
        <w:pBdr>
          <w:bottom w:val="single" w:sz="4" w:space="0" w:color="auto"/>
        </w:pBdr>
        <w:rPr>
          <w:rFonts w:eastAsia="宋体" w:hint="eastAsia"/>
          <w:lang w:val="en-US" w:eastAsia="zh-CN"/>
        </w:rPr>
      </w:pPr>
    </w:p>
    <w:p w14:paraId="54FDD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</w:rPr>
        <w:t>表2木材和垃圾两项降幅较大，主要是由于铝模代替木模后现场几乎不再有模板边角料，叠合板取消支模之后拆除环节产生的垃圾也大大减少。施工中产生的混凝土块、砌块碎料经过破碎筛分后用作场内临时道路的垫层及地坪回填，资源化利用率大于60%。</w:t>
      </w:r>
    </w:p>
    <w:p w14:paraId="5C7A4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</w:rPr>
        <w:t>（二）BIM技术辅助深化设计</w:t>
      </w:r>
    </w:p>
    <w:p w14:paraId="2C8E7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</w:rPr>
        <w:t>将土建、机电、精装三个专业的BIM模型整合之后，在模型中一共找出管线碰撞、净高不够的问题1376个，占总数的四成以上是梁下管线和风管相交。设计变更在主体施工前完成，套管、预埋盒、洞口的位置一起放在铝模排版图上，砌筑、结构结束之后很少二次剔凿。施工场地也在模型里提前演示，塔吊覆盖半径、预制构件堆放场地、钢筋运输车转弯半径一个不漏地检查，最后使堆场面积缩减大约18%，现场道路使用可周转的钢板路面，三次移位节省混凝土硬化面约4600平方米。</w:t>
      </w:r>
    </w:p>
    <w:p w14:paraId="7E17205B">
      <w:pPr>
        <w:rPr>
          <w:rFonts w:hint="default"/>
          <w:lang w:val="en-US" w:eastAsia="zh-CN"/>
        </w:rPr>
      </w:pPr>
    </w:p>
    <w:p w14:paraId="1C1E51FA">
      <w:pPr>
        <w:rPr>
          <w:rFonts w:hint="default"/>
          <w:lang w:val="en-US" w:eastAsia="zh-CN"/>
        </w:rPr>
      </w:pPr>
    </w:p>
    <w:p w14:paraId="60E23972">
      <w:pPr>
        <w:pBdr>
          <w:bottom w:val="single" w:sz="4" w:space="0" w:color="auto"/>
        </w:pBdr>
        <w:rPr>
          <w:rFonts w:hint="default"/>
          <w:lang w:val="en-US" w:eastAsia="zh-CN"/>
        </w:rPr>
      </w:pPr>
    </w:p>
    <w:p w14:paraId="7FC76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</w:rPr>
        <w:t>四个部位的实测值均比设计值大一些，但只是偏高2.5%-9.5%，都处在《夏热冬冷地区居住建筑节能设计标准》（JGJ134-2010）所允许的误差范围之内。外墙偏差主要是由于锚栓周围局部热桥引起的，说明现场对于锚栓数量和嵌固深度的管控还要继续。</w:t>
      </w:r>
    </w:p>
    <w:p w14:paraId="776EF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</w:rPr>
        <w:t>屋面安装185kWp分布式光伏，年发电量约19.4万kWh，所发电量供公共区照明及电梯使用。</w:t>
      </w:r>
    </w:p>
    <w:p w14:paraId="442C0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</w:rPr>
        <w:t>（四）水资源与能源的节约利用</w:t>
      </w:r>
    </w:p>
    <w:p w14:paraId="6ACF3A60">
      <w:pPr>
        <w:pBdr>
          <w:bottom w:val="single" w:sz="4" w:space="0" w:color="auto"/>
        </w:pBdr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</w:rPr>
        <w:t>基坑降水日均抽排量约1800m³，经三级沉淀池沉淀后用作车辆清洗、道路洒水、混凝土养护用水。主体阶段墙体采用带模保湿养护工艺，楼板浇筑完毕后立即覆盖薄膜，喷洒高分子养护剂，利用锁水材料保持水化环境，使人工洒水次数明显减少。</w:t>
      </w:r>
    </w:p>
    <w:p w14:paraId="2E41B6C5">
      <w:pPr>
        <w:rPr>
          <w:rFonts w:ascii="Times New Roman" w:hAnsi="Times New Roman" w:cs="宋体" w:hint="default"/>
          <w:lang w:val="en-US" w:eastAsia="zh-CN"/>
        </w:rPr>
      </w:pPr>
    </w:p>
    <w:p w14:paraId="09FC5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</w:rPr>
        <w:t>（五）</w:t>
      </w:r>
      <w:bookmarkStart w:id="0" w:name="_GoBack"/>
      <w:bookmarkEnd w:id="0"/>
    </w:p>
    <w:p w14:paraId="7F33D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</w:rPr>
        <w:t>场地出入口设自动冲洗平台，裸露土方100%覆盖防尘网，基坑周边及塔吊设喷淋，外脚手架全封闭。土方开挖分段、分层作业，开挖面随挖随盖，4级以上大风时停止土方外运；渣土车必须密闭运输，装有定位装置，路线选择避开居民密集区。场界设有在线监测仪，可以实时显示PM10、噪声，数据自动上传到住建部门平台。系统预先设置扬尘、噪声的阈值，当指标接近或者超过阈值的时候，立刻发出报警信息给管理人员，管理人员可以立即采取应急措施，使用加密喷淋、停止高噪声作业等手段进行干预，从而形成一个可以实时监测、自动报警并快速处理的闭环控制体系。监测结果见表4。</w:t>
      </w:r>
    </w:p>
    <w:p w14:paraId="06EB289E">
      <w:pPr>
        <w:rPr>
          <w:rFonts w:eastAsia="宋体" w:hint="eastAsia"/>
          <w:lang w:val="en-US" w:eastAsia="zh-CN"/>
        </w:rPr>
      </w:pPr>
    </w:p>
    <w:p w14:paraId="24D27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</w:rPr>
        <w:t>土方阶段出现超标现象最多的是渣土车夜间集中外运的时候，项目之后采取错峰出土并增设场界隔声屏的方式，相邻月份超标天数大幅减少。</w:t>
      </w:r>
    </w:p>
    <w:p w14:paraId="556D4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  <w:lang w:val="en-US" w:eastAsia="zh-CN"/>
        </w:rPr>
        <w:t>三</w:t>
      </w:r>
      <w:r>
        <w:rPr>
          <w:rFonts w:ascii="Times New Roman" w:eastAsia="宋体" w:hAnsi="Times New Roman" w:cs="宋体" w:hint="eastAsia"/>
        </w:rPr>
        <w:t>、</w:t>
      </w:r>
    </w:p>
    <w:p w14:paraId="566AB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</w:rPr>
        <w:t>根据GB/T50640-2023附录评分，项目在节材与材料资源利用、节水与水资源利用两个方面得分为最高，施工阶段综合评价为优秀，竣工后也取得了绿色建筑二星级设计标识以及运行标识。再看经济账，增量投资总计1589万元，占总投资额的2.8%，施工期节约总额为1409万元，主要由工期缩短所节约的管理费、财务费所组成。运行期年收益主要来自于围护结构节能、光伏发电、雨水收集。以每户每年可节省空调采暖用电约450kWh，电价为0.58元/kWh来计算，1480户每年可以节约38.6万元。分项数据见表5。</w:t>
      </w:r>
    </w:p>
    <w:p w14:paraId="261E5A28">
      <w:pPr>
        <w:rPr>
          <w:rFonts w:eastAsia="宋体" w:hint="eastAsia"/>
          <w:lang w:val="en-US" w:eastAsia="zh-CN"/>
        </w:rPr>
      </w:pPr>
    </w:p>
    <w:p w14:paraId="21FCF61F">
      <w:pPr>
        <w:rPr>
          <w:rFonts w:eastAsia="宋体" w:hint="eastAsia"/>
          <w:lang w:val="en-US" w:eastAsia="zh-CN"/>
        </w:rPr>
      </w:pPr>
    </w:p>
    <w:p w14:paraId="2CB5CACF">
      <w:pPr>
        <w:rPr>
          <w:rFonts w:eastAsia="宋体"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C776A4C"/>
    <w:rsid w:val="0CAF61E6"/>
    <w:rsid w:val="12A32349"/>
    <w:rsid w:val="14490B4A"/>
    <w:rsid w:val="1FE67BF3"/>
    <w:rsid w:val="231A0710"/>
    <w:rsid w:val="254E4B0C"/>
    <w:rsid w:val="39D03AA1"/>
    <w:rsid w:val="3ABE69FB"/>
    <w:rsid w:val="3E8848DA"/>
    <w:rsid w:val="433647FD"/>
    <w:rsid w:val="499B5733"/>
    <w:rsid w:val="4A4D44A0"/>
    <w:rsid w:val="55713605"/>
    <w:rsid w:val="5F3B478D"/>
    <w:rsid w:val="684936C3"/>
    <w:rsid w:val="68537B32"/>
    <w:rsid w:val="77FC2DAB"/>
    <w:rsid w:val="7ABB0CFB"/>
    <w:rsid w:val="7AD86D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904</Words>
  <Characters>950</Characters>
  <Application>Microsoft Office Word</Application>
  <DocSecurity>0</DocSecurity>
  <Lines>0</Lines>
  <Paragraphs>0</Paragraphs>
  <ScaleCrop>false</ScaleCrop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2026-10-26T17:35:00Z</dcterms:created>
  <dcterms:modified xsi:type="dcterms:W3CDTF">2026-10-27T13:11:51Z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74FB878047F64A9EA5EBC1CC08805FBE_12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