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66B3D29">
      <w:pPr>
        <w:keepNext/>
        <w:keepLines/>
        <w:pageBreakBefore w:val="0"/>
        <w:widowControl/>
        <w:kinsoku/>
        <w:wordWrap/>
        <w:overflowPunct/>
        <w:topLinePunct w:val="0"/>
        <w:autoSpaceDE/>
        <w:autoSpaceDN/>
        <w:bidi w:val="0"/>
        <w:adjustRightInd/>
        <w:snapToGrid/>
        <w:spacing w:before="0" w:after="0" w:line="240" w:lineRule="auto"/>
        <w:jc w:val="both"/>
        <w:textAlignment w:val="auto"/>
        <w:rPr>
          <w:rFonts w:ascii="宋体" w:eastAsia="宋体" w:hAnsi="宋体" w:cs="宋体" w:hint="eastAsia"/>
          <w:b/>
          <w:bCs w:val="0"/>
          <w:color w:val="000000"/>
          <w:sz w:val="32"/>
          <w:szCs w:val="32"/>
          <w:lang w:val="zh-CN" w:eastAsia="zh-CN"/>
        </w:rPr>
      </w:pPr>
      <w:r>
        <w:rPr>
          <w:rFonts w:ascii="宋体" w:eastAsia="宋体" w:hAnsi="宋体" w:cs="宋体" w:hint="eastAsia"/>
          <w:b/>
          <w:bCs w:val="0"/>
          <w:color w:val="000000"/>
          <w:sz w:val="32"/>
          <w:szCs w:val="32"/>
          <w:lang w:val="zh-CN" w:eastAsia="zh-CN"/>
        </w:rPr>
        <w:t>AI赋能初中物理“备—教—练—评”一体化课堂实践研究</w:t>
      </w:r>
    </w:p>
    <w:p w14:paraId="48B821D3">
      <w:pPr>
        <w:keepNext/>
        <w:keepLines/>
        <w:pageBreakBefore w:val="0"/>
        <w:widowControl/>
        <w:kinsoku/>
        <w:wordWrap/>
        <w:overflowPunct/>
        <w:topLinePunct w:val="0"/>
        <w:autoSpaceDE/>
        <w:autoSpaceDN/>
        <w:bidi w:val="0"/>
        <w:adjustRightInd/>
        <w:snapToGrid/>
        <w:spacing w:before="0" w:after="0" w:line="240" w:lineRule="auto"/>
        <w:ind w:firstLine="3600" w:firstLineChars="1500"/>
        <w:jc w:val="both"/>
        <w:textAlignment w:val="auto"/>
        <w:rPr>
          <w:rFonts w:ascii="宋体" w:eastAsia="宋体" w:hAnsi="宋体" w:cs="宋体" w:hint="eastAsia"/>
          <w:b/>
          <w:bCs w:val="0"/>
          <w:color w:val="000000"/>
          <w:sz w:val="24"/>
          <w:lang w:val="zh-CN" w:eastAsia="zh-CN"/>
        </w:rPr>
      </w:pPr>
      <w:r>
        <w:rPr>
          <w:rFonts w:ascii="宋体" w:eastAsia="宋体" w:hAnsi="宋体" w:cs="宋体" w:hint="eastAsia"/>
          <w:b/>
          <w:bCs w:val="0"/>
          <w:color w:val="000000"/>
          <w:sz w:val="24"/>
          <w:lang w:val="zh-CN" w:eastAsia="zh-CN"/>
        </w:rPr>
        <w:t>郑家顺</w:t>
      </w:r>
    </w:p>
    <w:p w14:paraId="29E5677D">
      <w:pPr>
        <w:keepNext/>
        <w:keepLines/>
        <w:pageBreakBefore w:val="0"/>
        <w:widowControl/>
        <w:kinsoku/>
        <w:wordWrap/>
        <w:overflowPunct/>
        <w:topLinePunct w:val="0"/>
        <w:autoSpaceDE/>
        <w:autoSpaceDN/>
        <w:bidi w:val="0"/>
        <w:adjustRightInd/>
        <w:snapToGrid/>
        <w:spacing w:before="0" w:after="0" w:line="240" w:lineRule="auto"/>
        <w:ind w:firstLine="3120" w:firstLineChars="1300"/>
        <w:jc w:val="both"/>
        <w:textAlignment w:val="auto"/>
        <w:rPr>
          <w:rFonts w:ascii="宋体" w:eastAsia="宋体" w:hAnsi="宋体" w:cs="宋体" w:hint="eastAsia"/>
          <w:b/>
          <w:bCs w:val="0"/>
          <w:color w:val="000000"/>
          <w:sz w:val="24"/>
          <w:lang w:val="zh-CN" w:eastAsia="zh-CN"/>
        </w:rPr>
      </w:pPr>
      <w:r>
        <w:rPr>
          <w:rFonts w:ascii="宋体" w:eastAsia="宋体" w:hAnsi="宋体" w:cs="宋体" w:hint="eastAsia"/>
          <w:b/>
          <w:bCs w:val="0"/>
          <w:color w:val="000000"/>
          <w:sz w:val="24"/>
          <w:lang w:val="zh-CN" w:eastAsia="zh-CN"/>
        </w:rPr>
        <w:t>武汉市板桥中学</w:t>
      </w:r>
    </w:p>
    <w:p w14:paraId="3E7B257B">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bCs/>
          <w:color w:val="000000"/>
          <w:sz w:val="24"/>
          <w:lang w:val="en-US"/>
        </w:rPr>
        <w:t>引言：初</w:t>
      </w:r>
      <w:r>
        <w:rPr>
          <w:rFonts w:ascii="宋体" w:eastAsia="宋体" w:hAnsi="宋体" w:cs="宋体" w:hint="eastAsia"/>
          <w:color w:val="000000"/>
          <w:sz w:val="24"/>
        </w:rPr>
        <w:t>中物理教学中的“备、教、练、评”应该是互相联系、连续进行的，即备课从学生的实际出发，课堂围绕重要的问题组织实验和解释，练习是根据不同的困难继续学习，评价是为当堂调整以及后续备课提供依据。现实中四个环节是分开的，备课是根据自己的经验设想学生的情况，课堂侧重于讲授，作业是统一布置的，评价只停留在分数上。人工智能能够对学生的前测进行整理，从学生角度给出可行的资源候选集，可以虚拟的实验，并且可以归纳课堂上学生的表现，但是价值在于不能增加软件的数量，而是在前一个环节发现问题后到后一个环节。本文立足人教版初中物理教材，以长度与时间的测量、声音的产生与传播、大气压强、功率这四个课例为研究对象，探究AI怎样在教师审核和真实的实验指导下，支撑起“诊断起点—组织探究—分层练习—评价调整”一条线的课例。设计不能只是“一个环节一个工具”，而应该是一个目标、一个核心问题贯穿始终。</w:t>
      </w:r>
    </w:p>
    <w:p w14:paraId="706C06FC">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bCs w:val="0"/>
          <w:color w:val="000000"/>
        </w:rPr>
      </w:pPr>
      <w:r>
        <w:rPr>
          <w:rFonts w:ascii="宋体" w:eastAsia="宋体" w:hAnsi="宋体" w:cs="宋体" w:hint="eastAsia"/>
          <w:b/>
          <w:bCs w:val="0"/>
          <w:color w:val="000000"/>
          <w:sz w:val="24"/>
          <w:lang w:val="zh-CN" w:eastAsia="zh-CN"/>
        </w:rPr>
        <w:t>一、厘清一体化：让四个环节围绕同一学习问题</w:t>
      </w:r>
    </w:p>
    <w:p w14:paraId="7921267A">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（一）“备”不是生成教案，而是判断学生从哪里出发</w:t>
      </w:r>
    </w:p>
    <w:p w14:paraId="649BACC1">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AI备课工具可以快速生成目标、课件、问题，但是直接照搬的结果是结构完整但是和本班学生的距离较远的教案。备课首先要对学生的已有经验与科学概念之间存在着什么样的障碍有清醒的认识。学习“大气压强”前学生一般知道吸盘能贴在墙上，但是把原因解释成里面有吸力。学习“功率”之前，很容易将“做功多”当作“功率大”。教师应该先通过短前测或者错题样本来获得真实的观点，然后由AI将这些观点进行分类，最后确定哪些观点需要在课堂上加以检验。</w:t>
      </w:r>
    </w:p>
    <w:p w14:paraId="05E4183D">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（二）“教”不是播放智能资源，而是组织真实认知冲突</w:t>
      </w:r>
    </w:p>
    <w:p w14:paraId="3B17DCD8">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物理概念来源于对现象的观察、实验以及解释。人工智能可以生成情境、改变变量、提出问题，但是不能代替学生亲自去测量、收集证据、做出判断。课堂上要使真实的实验担负起主要的体验，而虚拟实验则用来补充危险的、微小的、耗时的以及不易重复的实验。托里拆利实验不能让学生多次做水银，虚拟仿真可以改变玻璃管粗细、倾角，但是覆杯实验、吸盘实验还是要学生亲自动手做。</w:t>
      </w:r>
    </w:p>
    <w:p w14:paraId="69DAE2AB">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（三）“练”不是题量增加，而是针对不同错误继续学习</w:t>
      </w:r>
    </w:p>
    <w:p w14:paraId="68B05A10">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统一作业一般都有过难、过易、重复的题。AI能凭借课堂答题、实验数据以及作业情况来辨别错误种类，分发概念辨析、基本计算以及开放探究任务。分层不是固定的学生层次，是给同一个学生提供不同的学习支持在不同的知识点上。练习结束之后老师还要看错因，不能只根据平台的正确率来判断学生会与不会。</w:t>
      </w:r>
    </w:p>
    <w:p w14:paraId="23020EE3">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（四）“评”不是课后打分，而是决定下一步怎样教</w:t>
      </w:r>
    </w:p>
    <w:p w14:paraId="2A9D9AAC">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评价要深入到学习的过程当中。Plickers、即时投票或者平板上传可以迅速得到全班的选择情况，AI课堂观察可以对提问类型、互动对象、等待时长进行整理，实验照片可以体现操作是否正确。只有当这些信息改变当堂追问、练习、下次备课时，评价才和教学有联系。多数学生把“振动停止”理解为“声音马上消失”，老师应该及时补充有关声源与传播过程的辨析，不能等到单元考试时才对这一知识点统一讲授。</w:t>
      </w:r>
    </w:p>
    <w:p w14:paraId="43155A61">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（五）一体化的判断标准是学习是否连续</w:t>
      </w:r>
    </w:p>
    <w:p w14:paraId="20CB0434">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判断四个环节是否真正打通，就看三个问题，课堂前发现的错误是否被课堂检验过，课堂的表现决定着练习的内容，练习与评价能否影响下次的教学。如果AI只分别产出教案、题目、报告，没有共同的问题作为主线的话，也只是工具的堆砌。相反，即使只使用一种简单的平台，只要学习的信息可以持续地传递下去，也能达成一体化的设计。</w:t>
      </w:r>
    </w:p>
    <w:p w14:paraId="7DEF7BDB">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bCs w:val="0"/>
          <w:color w:val="000000"/>
        </w:rPr>
      </w:pPr>
      <w:r>
        <w:rPr>
          <w:rFonts w:ascii="宋体" w:eastAsia="宋体" w:hAnsi="宋体" w:cs="宋体" w:hint="eastAsia"/>
          <w:b/>
          <w:bCs w:val="0"/>
          <w:color w:val="000000"/>
          <w:sz w:val="24"/>
          <w:lang w:val="zh-CN" w:eastAsia="zh-CN"/>
        </w:rPr>
        <w:t>二、现实诊断：AI使用中的四种“看似一体化”</w:t>
      </w:r>
    </w:p>
    <w:p w14:paraId="7F4A61CA">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（一）目标由AI代写，教学仍然照本宣科</w:t>
      </w:r>
    </w:p>
    <w:p w14:paraId="2F8DC346">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有些老师在输入课题名称之后，直接使用AI生成的三维目标，表面上是全面的，但并未根据学生的前概念来确定重点。目标有“发展科学推理”，但教学仍按教材顺序讲定义、公式、例题，工具没有改变教学的判断。</w:t>
      </w:r>
    </w:p>
    <w:p w14:paraId="3F94EB53">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（二）课堂资源丰富，学生缺少亲手探究</w:t>
      </w:r>
    </w:p>
    <w:p w14:paraId="5083F70F">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动画、数字人、虚拟实验轮番上阵，学生观看现象的时间变长了，自己提出假设、控制变量、记录数据的时间却变短了。物理课如果只剩下“看见实验”，学生就不能体会证据是怎么来的，也无法养成良好的操作习惯。</w:t>
      </w:r>
    </w:p>
    <w:p w14:paraId="6330FC43">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（三）练习自动推送，错误原因无人解释</w:t>
      </w:r>
    </w:p>
    <w:p w14:paraId="410161C5">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平台可以按照知识点推送相似的题目，但是把审题不认真、概念不清、计算有误、实验理解不到位都当作一种“错误”。学生一直做错题也不能理解为什么错了，老师也会把图表上正确率的数字代替自己的专业判断。</w:t>
      </w:r>
    </w:p>
    <w:p w14:paraId="67D7BC37">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（四）数据很多，评价没有改变后续教学</w:t>
      </w:r>
    </w:p>
    <w:p w14:paraId="32478471">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课堂报告虽然列出了互动次数、作业完成率以及知识点的掌握程度，也不能说明这四个环节是连贯的。教师如果只是把报告作为展示使用，并没有据此调整问题、实验和作业，数据还是停留在屏幕上。一体化的真正含义就是把问题清楚地传递下去，课前发现了什么，课堂怎样检测；课堂暴露了什么，练习怎样补偿；练习之后还存在哪些问题，下一次备课依据此改变。</w:t>
      </w:r>
    </w:p>
    <w:p w14:paraId="127344B1">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bCs w:val="0"/>
          <w:color w:val="000000"/>
        </w:rPr>
      </w:pPr>
      <w:r>
        <w:rPr>
          <w:rFonts w:ascii="宋体" w:eastAsia="宋体" w:hAnsi="宋体" w:cs="宋体" w:hint="eastAsia"/>
          <w:b/>
          <w:bCs w:val="0"/>
          <w:color w:val="000000"/>
          <w:sz w:val="24"/>
          <w:lang w:val="zh-CN" w:eastAsia="zh-CN"/>
        </w:rPr>
        <w:t>三、四环实践：AI在“备—教—练—评”中的角色分工</w:t>
      </w:r>
    </w:p>
    <w:p w14:paraId="3BEC9731">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（一）备课诊断：以“前测—归类—校准”确定教学起点</w:t>
      </w:r>
    </w:p>
    <w:p w14:paraId="1A5816FB">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教师用菁优网、校本平台或者问卷工具做五到八道负担低的前测题。题目不需要覆盖整章，应该尽可能暴露出重要的前概念。匿名答案交给秘塔AI或者允许使用的大语言模型分类之后可以设置正确理解、典型错误、可能原因、需要追问这四个分类，最后必须再回到学生的原答案逐条核对。教学目标也应从“知道、理解”改写为可观察的表现，如“能根据多次测量结果说明误差不可避免”“能用对比实验解释声音由振动产生”。</w:t>
      </w:r>
    </w:p>
    <w:p w14:paraId="0D5BEBCA">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（二）课堂教学：以“真实实验—智能补充—追问解释”组织探究</w:t>
      </w:r>
    </w:p>
    <w:p w14:paraId="35071561">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AI在课堂上有三种辅助作用。第一，情境提出者用数字人或者图片引发认知冲突，但是不给出结论；第二，方案提供者给学生提供多个实验设想，学生经过比较再加以选择并加以实验；第三，变量改变者，在无法进行真实实验的情况下可以改变条件来重复实验。教师主要的工作就是追问证据，即你看见了什么，此现象表明了什么，其他变量是否被控制。AI的回答只能起到检验的功用，并不能代替实验结论。</w:t>
      </w:r>
    </w:p>
    <w:p w14:paraId="6B87DDA5">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（三）练习巩固：以“错误分类—任务匹配—二次说明”开展分层</w:t>
      </w:r>
    </w:p>
    <w:p w14:paraId="6F9E36EE">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练习分为三类。概念层看“为什么”，用判断、反例的方法来纠正错误，方法层看“怎样做”，用读数、作图和计算来形成规范，迁移层看“能否换情境”，用生活问题或者小项目来检验应用。AI根据课堂数据产生候选题，教师把超纲题、重复题、表述不清的题删掉。学生做完题之后不但要写答案，还要写一两句典型错题的原因，使平台不只是统计答案。</w:t>
      </w:r>
    </w:p>
    <w:p w14:paraId="2374E225">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（四）评价调整：以“课堂表现—作业证据—学生反思”决定后续</w:t>
      </w:r>
    </w:p>
    <w:p w14:paraId="72AF455E">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AI课堂观察系统可统计教师提问里记忆性问题和分析性问题的比例，也可以统计出学生的个别回答、齐答情况，但是需要将学生作品加入其中。教师可以从实验记录、口头表述、错题原因这三个方面进行反思，反思的结果是三个问题“目标中哪些已经达成”、“哪些只在少数学生上达成”、“下一节课要改变什么”。评价结果可以当场做出调整，也可以成为下一节课的备课资料。</w:t>
      </w:r>
    </w:p>
    <w:p w14:paraId="368ACB38">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bCs w:val="0"/>
          <w:color w:val="000000"/>
        </w:rPr>
      </w:pPr>
      <w:bookmarkStart w:id="0" w:name="_GoBack"/>
      <w:bookmarkEnd w:id="0"/>
      <w:r>
        <w:rPr>
          <w:rFonts w:ascii="宋体" w:eastAsia="宋体" w:hAnsi="宋体" w:cs="宋体" w:hint="eastAsia"/>
          <w:b/>
          <w:bCs w:val="0"/>
          <w:color w:val="000000"/>
          <w:sz w:val="24"/>
          <w:lang w:val="zh-CN" w:eastAsia="zh-CN"/>
        </w:rPr>
        <w:t>四、课例一体化：四节人教版内容的差异化设计</w:t>
      </w:r>
    </w:p>
    <w:p w14:paraId="52F92F25">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（一）“长度和时间的测量”：从会读数到理解测量</w:t>
      </w:r>
    </w:p>
    <w:p w14:paraId="0E602892">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教师在课前通过菁优网发布三张刻度尺读数图，问同一支铅笔量出的结果为什么不一样。教师在整理完学生答案之后还要让学生说清楚零刻度没对齐、视线歪斜或者没有估读的原因。因此教学目的由原来的掌握背诵“选、放、看、读、记”变为掌握规范的操作并能解释估读和误差。</w:t>
      </w:r>
    </w:p>
    <w:p w14:paraId="5DF087DC">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学生以小组形式对同一个物体进行测量，并将尺子的摆放以及读数的照片传入“三个助手”平台。大屏把各个小组的操作放在一个画面里，教师让学生找出不同之处并说出原因，然后回到实物上重新测量。仿真实验只用放大刻度、改变视线的角度来让学生看清视差，最后的读数还是依靠真实的刻度尺。</w:t>
      </w:r>
    </w:p>
    <w:p w14:paraId="6A01E738">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根据错误的原因将练习分成三类，A组纠正尺子摆放，B组训练分度值和估读，C组解决硬币周长、细铜丝直径等特殊测量。评价要关注答案，也要看单位、有效数字以及操作说明。如果大部分学生已经会读数，但是仍然认为多测几次可以消除误差，那么下一节课就用多组数据比较继续辨析减小和消除的区别。</w:t>
      </w:r>
    </w:p>
    <w:p w14:paraId="076EECED">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（二）“声音的产生与传播”：从现象观看到证据推理</w:t>
      </w:r>
    </w:p>
    <w:p w14:paraId="13507539">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在课前的前测中设置了“敲响音叉后用手按住会怎样”“声音能否在月球上传播”。平台给出的只是一种线索，教师再取匿名的解释，用AI去辨别“把发声和传播混为一谈”“依靠生活经验推测”等等。</w:t>
      </w:r>
    </w:p>
    <w:p w14:paraId="3E121DE1">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课堂上先做橡皮筋、音叉、鼓面的实验，用纸屑、乒乓球把振动表现出来。之后豆包智能体以好奇的航天员的身份提出问题，当手指按在音叉上之后，为什么在空气中还会发出很短的时间内？学生要对声源停止振动和已经发出的声波还在传播加以区分。当真空罩实验无法使用时，可以利用国家中小学智慧教育平台的虚拟实验调节抽气程度，多次观察声音变弱的过程，但是教师必须清楚地指出屏幕显示的是实验趋势的一种辅助模拟，不能代替真实的实验现象以及科学的推理。</w:t>
      </w:r>
    </w:p>
    <w:p w14:paraId="06018174">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练习分为判断声源、选择传播介质、设计验证方案三个部分。评价使用Plickers收集学生对于“真空不能传声”原因的陈述，如果学生只是背结论，教师要求学生用实验现象、变化趋势、推理结论重新表述。</w:t>
      </w:r>
    </w:p>
    <w:p w14:paraId="3BEDC518">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（三）“大气压强”：用多证据克服看不见的概念</w:t>
      </w:r>
    </w:p>
    <w:p w14:paraId="6EE0A9BC">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课前诊断以“吸管为什么能把饮料吸上来”和“覆杯后纸片为什么不会掉下来”为内容。AI可以把答案归类为嘴把水吸上来、纸和杯口粘住、外界空气有压力这几种情况，教师依据学生的原话来判定认识的差异，从而决定教学的先后顺序，即先排除内部的吸力，再建立外部的压强。</w:t>
      </w:r>
    </w:p>
    <w:p w14:paraId="7672D6F9">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课堂先让学生做覆杯、吸盘、瓶吞鸡蛋安全实验，做好实验前后的内外环境条件记录。学生产生对大气压究竟有多大问题的疑问之后，才进入虚拟托里拆利实验，改变管径、倾角、液体种类，看竖直高度如何变化。教师不断追问“管子变粗为什么高度不变”“如果用水做实验，液柱要多高”，AI给出计算提示，但是不能代替师生做出判断。</w:t>
      </w:r>
    </w:p>
    <w:p w14:paraId="0807702E">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基础任务解释生活现象、方法任务计算液柱压强、拓展任务设计不用水银的测量设想。评价以概念图、口头表达为主。学生如果仍然把吸管的作用解释成“吸力”，那么下一轮备课就添加了抽走瓶内空气的反例材料，使学生重新对原来的解释进行修改。</w:t>
      </w:r>
    </w:p>
    <w:p w14:paraId="24158EA9">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（四）“功率”：让公式建立在比较方法之上</w:t>
      </w:r>
    </w:p>
    <w:p w14:paraId="619E17A2">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课前设计情境题三道，考察学生是否能够区分功、时间与功率：同样的爬楼哪个人爬得更快，时间相同谁做的功多，功率大是否一定做功多。AI把各种错误组合加总起来，教师再挑出最容易产生认知冲突的“搬砖”和“爬楼”。</w:t>
      </w:r>
    </w:p>
    <w:p w14:paraId="59745558">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bCs w:val="0"/>
          <w:color w:val="000000"/>
        </w:rPr>
      </w:pPr>
      <w:r>
        <w:rPr>
          <w:rFonts w:ascii="宋体" w:eastAsia="宋体" w:hAnsi="宋体" w:cs="宋体" w:hint="eastAsia"/>
          <w:b/>
          <w:bCs w:val="0"/>
          <w:color w:val="000000"/>
          <w:sz w:val="24"/>
          <w:lang w:val="zh-CN" w:eastAsia="zh-CN"/>
        </w:rPr>
        <w:t>五、实施约束：保证AI服务物理学习而非替代物理学习</w:t>
      </w:r>
    </w:p>
    <w:p w14:paraId="547489BA">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（二）对生成内容进行学科审查</w:t>
      </w:r>
    </w:p>
    <w:p w14:paraId="6FFE6910">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AI给出的题目概念不清，条件有缺漏或者数值不合理的题目。教师要对单位、有效数字、图像比例、实验安全、教材范围进行检查，引用AI方案的时候，应当让学生把AI方案当作待评价的建议。实验设计中方案能否控制变量、安全、能收集证据，应该师生一起做判断。</w:t>
      </w:r>
    </w:p>
    <w:p w14:paraId="7D157B6A">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（三）保护数据并防止标签固化</w:t>
      </w:r>
    </w:p>
    <w:p w14:paraId="3073E361">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前测、录音、课堂视频以及作业数据只取教学需要的部分，用学校允许的平台。学情分组要根据知识点的变化，不能公开发布班级的“薄弱组”和“优秀组”。平台推送只是暂时的支持，教师应该给学生提供重新选任务的机会。</w:t>
      </w:r>
    </w:p>
    <w:p w14:paraId="1D9ACAED">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color w:val="000000"/>
          <w:sz w:val="24"/>
          <w:lang w:val="zh-CN" w:eastAsia="zh-CN"/>
        </w:rPr>
        <w:t>（四）控制工具数量和操作成本</w:t>
      </w:r>
    </w:p>
    <w:p w14:paraId="7FD53BB3">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b w:val="0"/>
          <w:bCs/>
          <w:i w:val="0"/>
          <w:color w:val="000000"/>
          <w:sz w:val="24"/>
          <w:lang w:val="zh-CN" w:eastAsia="zh-CN"/>
        </w:rPr>
        <w:t>一节课不能同时使用不同的AI工具。登录、上传、等待超过学习收益时应转用纸质卡、口头投票或者普通实验。比较稳定的方法就是备课阶段选择一个诊断工具，课堂上使用一个必须使用的交互或者仿真工具，练评阶段使用学校的统一平台。工具越少，环节之间传递的信息就越不容易出现差异。</w:t>
      </w:r>
    </w:p>
    <w:p w14:paraId="0753DF1B">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w:t>
      </w:r>
    </w:p>
    <w:p w14:paraId="7BD031E9">
      <w:pPr>
        <w:keepNext/>
        <w:keepLines/>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bCs w:val="0"/>
          <w:color w:val="000000"/>
        </w:rPr>
      </w:pPr>
      <w:r>
        <w:rPr>
          <w:rFonts w:ascii="宋体" w:eastAsia="宋体" w:hAnsi="宋体" w:cs="宋体" w:hint="eastAsia"/>
          <w:b/>
          <w:bCs w:val="0"/>
          <w:color w:val="000000"/>
          <w:sz w:val="24"/>
          <w:lang w:val="zh-CN" w:eastAsia="zh-CN"/>
        </w:rPr>
        <w:t>六、结束语</w:t>
      </w:r>
    </w:p>
    <w:p w14:paraId="6285F6A3">
      <w:pPr>
        <w:pageBreakBefore w:val="0"/>
        <w:widowControl/>
        <w:kinsoku/>
        <w:wordWrap/>
        <w:overflowPunct/>
        <w:topLinePunct w:val="0"/>
        <w:autoSpaceDE/>
        <w:autoSpaceDN/>
        <w:bidi w:val="0"/>
        <w:adjustRightInd/>
        <w:snapToGrid/>
        <w:spacing w:before="0" w:after="0" w:line="240" w:lineRule="auto"/>
        <w:ind w:firstLine="480" w:firstLineChars="200"/>
        <w:jc w:val="both"/>
        <w:textAlignment w:val="auto"/>
        <w:rPr>
          <w:rFonts w:ascii="宋体" w:eastAsia="宋体" w:hAnsi="宋体" w:cs="宋体" w:hint="eastAsia"/>
          <w:b w:val="0"/>
          <w:bCs/>
          <w:color w:val="000000"/>
        </w:rPr>
      </w:pPr>
      <w:r>
        <w:rPr>
          <w:rFonts w:ascii="宋体" w:eastAsia="宋体" w:hAnsi="宋体" w:cs="宋体" w:hint="eastAsia"/>
          <w:color w:val="000000"/>
          <w:sz w:val="24"/>
        </w:rPr>
        <w:t>AI为初中物理备课、上课、练习、评价提供一体化支持，不能把四个环节全部数字化，而应该让同一个学习问题不断地被发现、被检验、被修正。课前诊断找到教学起点，真实实验和智能资源一起回应前概念，分层练习处理不同的错误，评价决定下一步的教学。教师是目的、内容和安全的掌控者，真实的实验是物理学习的中心。只有AI真正帮助老师看清问题、让学生充分经历探究的过程，在不需要的时候可以自行离开的时候，技术才是课堂的支持力量。</w:t>
      </w:r>
    </w:p>
    <w:p w14:paraId="6CC8AA6A"/>
    <w:sectPr>
      <w:pgSz w:w="11906" w:h="16838"/>
      <w:pgMar w:top="1440" w:right="1587" w:bottom="1440" w:left="1587" w:header="850" w:footer="85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52E5B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宋体" w:eastAsia="宋体" w:hAnsi="宋体" w:cs="宋体"/>
      <w:sz w:val="24"/>
      <w:szCs w:val="22"/>
      <w:lang w:val="en-US" w:eastAsia="en-US"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2026-10-27T11:52:42Z</dcterms:created>
  <dcterms:modified xsi:type="dcterms:W3CDTF">2026-10-27T11:53:39Z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433703F1E4F74C1FA7F4AF50179A104A_12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