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9274CC1">
      <w:pPr>
        <w:rPr>
          <w:rFonts w:hint="eastAsia"/>
        </w:rPr>
      </w:pPr>
      <w:r>
        <w:rPr>
          <w:rFonts w:hint="eastAsia"/>
        </w:rPr>
        <w:t>作为钢构体系的核心联结手段，高强螺栓凭借优异的承载效能、抗疲劳及抗震特质，兼具高刚度与便捷安装优势，现已在建筑及桥梁工程的现场拼装中得以普遍应用[1]。</w:t>
      </w:r>
    </w:p>
    <w:p w14:paraId="16A4A7E1">
      <w:pPr>
        <w:rPr>
          <w:rFonts w:hint="eastAsia"/>
        </w:rPr>
      </w:pPr>
      <w:r>
        <w:rPr>
          <w:rFonts w:hint="eastAsia"/>
        </w:rPr>
        <w:t>凭借消解内部应力、增强体系弹性及保障桥体稳固等特性，摩擦型高强螺栓于钢构桥梁工程领域获得了广泛采用。尽管常规高强度螺栓本身并非设计用于抗剪，其连接节点区域却仍需满足相应的剪切承载性能指标。借助摩擦界面之效能，不仅有效规避了高强度螺栓固有局限，二者协同作用更能显著拓展其工程应用边界。作为钢桥建造与架设阶段广泛采用的装配手段，摩擦型高强螺栓接头在桁架结构及箱梁U形加劲肋拼接等关键部位均发挥着重要作用[2]。</w:t>
      </w:r>
    </w:p>
    <w:p w14:paraId="4F837AFD">
      <w:pPr>
        <w:rPr>
          <w:rFonts w:hint="eastAsia"/>
        </w:rPr>
      </w:pPr>
      <w:r>
        <w:rPr>
          <w:rFonts w:hint="eastAsia"/>
        </w:rPr>
        <w:t>针对高强螺栓摩擦型与承压型两类连接形式，其接触界面抗滑移系数均构成影响承载性能的关键参数[1]。无论摩擦面加工置于工厂抑或现场，均须开展抗滑移性能检测，且其试验下限值务必满足设计规定[3]。</w:t>
      </w:r>
    </w:p>
    <w:p w14:paraId="6D6AB056">
      <w:pPr>
        <w:rPr>
          <w:rFonts w:hint="eastAsia"/>
        </w:rPr>
      </w:pPr>
    </w:p>
    <w:p w14:paraId="7CF50397">
      <w:pPr>
        <w:rPr>
          <w:rFonts w:hint="eastAsia"/>
        </w:rPr>
      </w:pPr>
    </w:p>
    <w:p w14:paraId="6903CC54">
      <w:pPr>
        <w:rPr>
          <w:rFonts w:hint="eastAsia"/>
        </w:rPr>
      </w:pPr>
      <w:r>
        <w:rPr>
          <w:rFonts w:hint="eastAsia"/>
        </w:rPr>
        <w:t>1    影响钢结构高强度螺栓摩擦面抗滑移系数的因素</w:t>
      </w:r>
    </w:p>
    <w:p w14:paraId="5976190C">
      <w:pPr>
        <w:rPr>
          <w:rFonts w:hint="eastAsia"/>
        </w:rPr>
      </w:pPr>
      <w:r>
        <w:rPr>
          <w:rFonts w:hint="eastAsia"/>
        </w:rPr>
        <w:t>当特定连接节点的紧固件参数既定，抗滑移系数便主要取决于摩擦界面的制备工艺。鉴于此，摩擦界面处置工艺在高强螺栓连接作业中占据核心地位[1]。经喷砂及无机富锌防锈防滑涂层处置的摩擦界面，其抗滑性能本质上取决于分子间范德华相互作用，而该作用力强度又受覆层厚度制约[2]。鉴于此，本研究旨在阐明水性无机富锌涂料设计膜厚与滑移系数间的关联机制，进而为工程实践确立最佳应用参数。</w:t>
      </w:r>
    </w:p>
    <w:p w14:paraId="58BA9429">
      <w:pPr>
        <w:rPr>
          <w:rFonts w:hint="eastAsia"/>
        </w:rPr>
      </w:pPr>
      <w:r>
        <w:rPr>
          <w:rFonts w:hint="eastAsia"/>
        </w:rPr>
        <w:t>2   水性无机富锌防锈防滑涂料各项参数</w:t>
      </w:r>
    </w:p>
    <w:p w14:paraId="6CD3739A">
      <w:pPr>
        <w:rPr>
          <w:rFonts w:hint="eastAsia"/>
        </w:rPr>
      </w:pPr>
      <w:r>
        <w:rPr>
          <w:rFonts w:hint="eastAsia"/>
        </w:rPr>
        <w:t>得益于技术进步及新型材料、工艺的涌现，高强摩擦界面通常在完成基础处理后，再施涂双组分特种无机富锌防滑防锈涂层。该双组分特种无机富锌防护涂层体系，以醇类溶剂为介质，复配烷基硅酸酯、锌粉、金刚砂及功能助剂而成；其不仅借助阴极保护机制实现防腐，更兼具优异的抗冲击、耐磨损及防滑性能。</w:t>
      </w:r>
    </w:p>
    <w:p w14:paraId="1346AEA9">
      <w:pPr>
        <w:rPr>
          <w:rFonts w:hint="eastAsia"/>
        </w:rPr>
      </w:pPr>
    </w:p>
    <w:p w14:paraId="20969803">
      <w:pPr>
        <w:rPr>
          <w:rFonts w:hint="eastAsia"/>
        </w:rPr>
      </w:pPr>
      <w:r>
        <w:rPr>
          <w:rFonts w:hint="eastAsia"/>
        </w:rPr>
        <w:t xml:space="preserve">(3) </w:t>
      </w:r>
      <w:r>
        <w:rPr>
          <w:rFonts w:hint="eastAsia"/>
        </w:rPr>
        <w:t>针对表层油渍，宜采用特定清洗制剂实施低压喷淋或辅以柔质刷具清理，继而借助清水射流彻底涤除各类残余物质。亦可借助碱性溶液或灼烧等手段实施预处理，随后以纯水反复涤荡直至体系酸碱度回归中性。</w:t>
      </w:r>
    </w:p>
    <w:p w14:paraId="205C4CC1">
      <w:pPr>
        <w:rPr>
          <w:rFonts w:hint="eastAsia"/>
        </w:rPr>
      </w:pPr>
      <w:r>
        <w:rPr>
          <w:rFonts w:hint="eastAsia"/>
        </w:rPr>
        <w:t xml:space="preserve">(5) </w:t>
      </w:r>
      <w:r>
        <w:rPr>
          <w:rFonts w:hint="eastAsia"/>
        </w:rPr>
        <w:t>喷砂作业结束后，须借助真空吸尘设备或洁净干燥的压缩气流，彻底清除表面附着之残余介质。</w:t>
      </w:r>
    </w:p>
    <w:p w14:paraId="12137402">
      <w:pPr>
        <w:rPr>
          <w:rFonts w:hint="eastAsia"/>
        </w:rPr>
      </w:pPr>
    </w:p>
    <w:p w14:paraId="6E155860">
      <w:pPr>
        <w:rPr>
          <w:rFonts w:hint="eastAsia"/>
        </w:rPr>
      </w:pPr>
    </w:p>
    <w:p w14:paraId="0D6A1508">
      <w:pPr>
        <w:rPr>
          <w:rFonts w:hint="eastAsia"/>
        </w:rPr>
      </w:pPr>
      <w:r>
        <w:rPr>
          <w:rFonts w:hint="eastAsia"/>
        </w:rPr>
        <w:t>3. 3    涂装环境</w:t>
      </w:r>
    </w:p>
    <w:p w14:paraId="14875509">
      <w:pPr>
        <w:rPr>
          <w:rFonts w:hint="eastAsia"/>
        </w:rPr>
      </w:pPr>
      <w:r>
        <w:rPr>
          <w:rFonts w:hint="eastAsia"/>
        </w:rPr>
        <w:t>户外作业应规避干燥多风环境，以免涂膜表层固化过速而诱发龟裂；若条件受限，则须转入室内操作或落实有效挡风防护后方可实施。</w:t>
      </w:r>
    </w:p>
    <w:p w14:paraId="5A10EFAB">
      <w:pPr>
        <w:rPr>
          <w:rFonts w:hint="eastAsia"/>
        </w:rPr>
      </w:pPr>
    </w:p>
    <w:p w14:paraId="583879B8">
      <w:pPr>
        <w:rPr>
          <w:rFonts w:hint="eastAsia"/>
        </w:rPr>
      </w:pPr>
      <w:r>
        <w:rPr>
          <w:rFonts w:hint="eastAsia"/>
        </w:rPr>
        <w:t>3. 4    涂装</w:t>
      </w:r>
    </w:p>
    <w:p w14:paraId="5EA70761">
      <w:pPr>
        <w:rPr>
          <w:rFonts w:hint="eastAsia"/>
        </w:rPr>
      </w:pPr>
      <w:r>
        <w:rPr>
          <w:rFonts w:hint="eastAsia"/>
        </w:rPr>
        <w:t>施涂作业启动之前，须严格核验基层处理成效，唯有确认达标方可开展后续工序。此类喷涂装置借助漆液自重将其导引至出口端，继而与气流交汇以实现雾化施涂作业。</w:t>
      </w:r>
    </w:p>
    <w:p w14:paraId="318C6053">
      <w:pPr>
        <w:rPr>
          <w:rFonts w:hint="eastAsia"/>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6987069"/>
    <w:rsid w:val="409047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964</Words>
  <Characters>973</Characters>
  <Application>Microsoft Office Word</Application>
  <DocSecurity>0</DocSecurity>
  <Lines>0</Lines>
  <Paragraphs>0</Paragraphs>
  <ScaleCrop>false</ScaleCrop>
  <Company/>
  <LinksUpToDate>false</LinksUpToDate>
  <CharactersWithSpaces>1119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2026-10-27T07:57:00Z</dcterms:created>
  <dcterms:modified xsi:type="dcterms:W3CDTF">2026-10-27T08:15:50Z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5C0E09FE20CF4B9388AC9944A381DCDF_12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