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922BABF">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p>
    <w:p w14:paraId="49501977">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p>
    <w:p w14:paraId="534E072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default"/>
          <w:lang w:val="en-US" w:eastAsia="zh-CN"/>
        </w:rPr>
      </w:pPr>
      <w:bookmarkStart w:id="0" w:name="_GoBack"/>
      <w:bookmarkEnd w:id="0"/>
      <w:r>
        <w:rPr>
          <w:rFonts w:ascii="宋体" w:eastAsia="宋体" w:hAnsi="宋体" w:cs="宋体" w:hint="eastAsia"/>
        </w:rPr>
        <w:t>国潮文创蓬勃发展，以国潮文创为代表的传统文化的公共资源被大量地运用到文旅项目以及消费品的开发之中，国家也提倡对传统纹样的活化再利用。商标确权制度同公共文化资源共享之间的矛盾也越来越突出。学术界的研究大多都集中在非遗版权保护方面，商标确权环节的操作性研究很</w:t>
      </w:r>
      <w:r>
        <w:rPr>
          <w:rFonts w:ascii="宋体" w:eastAsia="宋体" w:hAnsi="宋体" w:cs="宋体" w:hint="eastAsia"/>
          <w:lang w:val="en-US" w:eastAsia="zh-CN"/>
        </w:rPr>
        <w:t>少。因此</w:t>
      </w:r>
      <w:r>
        <w:rPr>
          <w:rFonts w:ascii="宋体" w:eastAsia="宋体" w:hAnsi="宋体" w:cs="宋体" w:hint="eastAsia"/>
        </w:rPr>
        <w:t>，对公共文化资源商标权范围进行界定，探究地方文创产业合规</w:t>
      </w:r>
      <w:r>
        <w:rPr>
          <w:rFonts w:ascii="宋体" w:eastAsia="宋体" w:hAnsi="宋体" w:cs="宋体" w:hint="eastAsia"/>
          <w:lang w:val="en-US" w:eastAsia="zh-CN"/>
        </w:rPr>
        <w:t>之路十分重要。</w:t>
      </w:r>
    </w:p>
    <w:p w14:paraId="2614BD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（1）理论意义</w:t>
      </w:r>
    </w:p>
    <w:p w14:paraId="7BF941C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本文以LV诉茉莉奶白商标侵权案为研究对象，从法理角度研究公共文化资源和商标权的法理界限，分析商标确权审查中文化来源核查缺失的制度原因，丰富知识产权法学与文化传承交叉学科的研究，提高知</w:t>
      </w:r>
      <w:r>
        <w:rPr>
          <w:rFonts w:ascii="宋体" w:eastAsia="宋体" w:hAnsi="宋体" w:cs="宋体" w:hint="eastAsia"/>
          <w:lang w:eastAsia="zh-CN"/>
        </w:rPr>
        <w:t>识</w:t>
      </w:r>
      <w:r>
        <w:rPr>
          <w:rFonts w:ascii="宋体" w:eastAsia="宋体" w:hAnsi="宋体" w:cs="宋体" w:hint="eastAsia"/>
        </w:rPr>
        <w:t>产权法学与文化传承交叉学科的研究深度。</w:t>
      </w:r>
    </w:p>
    <w:p w14:paraId="221847A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（2）实践意义</w:t>
      </w:r>
    </w:p>
    <w:p w14:paraId="58EFD7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本课题立足于滨州“守一堂”非遗司法保护工程已有的基础，帮助各类主体在传统纹样活化使用的时候找到商标侵权风险，并且正确地申请商标，防止公共非遗纹样被商标制度私有化垄断。研究成果可以直接服务于滨州市黄河文化保护传承和文创产业的高质量发展，给地方文创产业合规路径的设计提供决策依据。</w:t>
      </w:r>
    </w:p>
    <w:p w14:paraId="464A4738">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p>
    <w:p w14:paraId="602F99A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解决主</w:t>
      </w:r>
    </w:p>
    <w:p w14:paraId="0F582B8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default"/>
          <w:lang w:val="en-US" w:eastAsia="zh-CN"/>
        </w:rPr>
      </w:pPr>
      <w:r>
        <w:rPr>
          <w:rFonts w:ascii="宋体" w:eastAsia="宋体" w:hAnsi="宋体" w:cs="宋体" w:hint="eastAsia"/>
          <w:lang w:val="en-US" w:eastAsia="zh-CN"/>
        </w:rPr>
        <w:t>（1）</w:t>
      </w:r>
      <w:r>
        <w:rPr>
          <w:rFonts w:ascii="宋体" w:eastAsia="宋体" w:hAnsi="宋体" w:cs="宋体" w:hint="default"/>
          <w:lang w:val="en-US" w:eastAsia="zh-CN"/>
        </w:rPr>
        <w:t>要问题在于利用LV诉茉莉奶白案中所体现的裁判逻辑来完成法理上的辨析，并且对纹样装饰性文化使用场景和商标性识别使用场景加以明确的界定。</w:t>
      </w:r>
    </w:p>
    <w:p w14:paraId="3D8A55D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default"/>
          <w:lang w:val="en-US" w:eastAsia="zh-CN"/>
        </w:rPr>
      </w:pPr>
      <w:r>
        <w:rPr>
          <w:rFonts w:ascii="宋体" w:eastAsia="宋体" w:hAnsi="宋体" w:cs="宋体" w:hint="eastAsia"/>
          <w:lang w:val="en-US" w:eastAsia="zh-CN"/>
        </w:rPr>
        <w:t>（2）</w:t>
      </w:r>
      <w:r>
        <w:rPr>
          <w:rFonts w:ascii="宋体" w:eastAsia="宋体" w:hAnsi="宋体" w:cs="宋体" w:hint="default"/>
          <w:lang w:val="en-US" w:eastAsia="zh-CN"/>
        </w:rPr>
        <w:t>针对滨州本地黄河非遗纹样文创开发中存在的法律风险识别不到位的问题，对剪纸、阳信地毯串枝纹、无棣贝瓷纹饰、布老虎纹样等滨州本地黄河非遗纹样资源进行梳理，并找出纹样取材、商标注册、IP运营环节中存在的合规隐患。</w:t>
      </w:r>
    </w:p>
    <w:p w14:paraId="37F981E7">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default"/>
          <w:lang w:val="en-US" w:eastAsia="zh-CN"/>
        </w:rPr>
      </w:pPr>
      <w:r>
        <w:rPr>
          <w:rFonts w:ascii="宋体" w:eastAsia="宋体" w:hAnsi="宋体" w:cs="宋体" w:hint="eastAsia"/>
          <w:lang w:val="en-US" w:eastAsia="zh-CN"/>
        </w:rPr>
        <w:t>（3）</w:t>
      </w:r>
      <w:r>
        <w:rPr>
          <w:rFonts w:ascii="宋体" w:eastAsia="宋体" w:hAnsi="宋体" w:cs="宋体" w:hint="default"/>
          <w:lang w:val="en-US" w:eastAsia="zh-CN"/>
        </w:rPr>
        <w:t>拟解决目前商标审查体系中缺少公有文化素材溯源核查制度的制度性不足，论证商标确权环节增加传统文化元素溯源前置审查的可行性，分析建立区域性的非遗纹样数据库的可行性路径。</w:t>
      </w:r>
    </w:p>
    <w:p w14:paraId="031659CA">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default"/>
          <w:lang w:val="en-US" w:eastAsia="zh-CN"/>
        </w:rPr>
      </w:pPr>
      <w:r>
        <w:rPr>
          <w:rFonts w:ascii="宋体" w:eastAsia="宋体" w:hAnsi="宋体" w:cs="宋体" w:hint="eastAsia"/>
          <w:lang w:val="en-US" w:eastAsia="zh-CN"/>
        </w:rPr>
        <w:t>（4）</w:t>
      </w:r>
      <w:r>
        <w:rPr>
          <w:rFonts w:ascii="宋体" w:eastAsia="宋体" w:hAnsi="宋体" w:cs="宋体" w:hint="default"/>
          <w:lang w:val="en-US" w:eastAsia="zh-CN"/>
        </w:rPr>
        <w:t>针对滨州非遗文创商标治理主体权责不清、联动效能低下的现状，依托当地黄河文化保护传承的工作基础，创建一个由文博机构、市场监管部门、司法机关和文创企业一起参与的协同治理运行架构。</w:t>
      </w:r>
    </w:p>
    <w:p w14:paraId="13B6DE81">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default"/>
          <w:lang w:val="en-US" w:eastAsia="zh-CN"/>
        </w:rPr>
      </w:pPr>
    </w:p>
    <w:p w14:paraId="4A1E55DF">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研究思路</w:t>
      </w:r>
    </w:p>
    <w:p w14:paraId="5CE10F64">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eastAsia"/>
          <w:lang w:val="en-US" w:eastAsia="zh-CN"/>
        </w:rPr>
      </w:pPr>
      <w:r>
        <w:rPr>
          <w:rFonts w:ascii="宋体" w:eastAsia="宋体" w:hAnsi="宋体" w:cs="宋体" w:hint="eastAsia"/>
          <w:lang w:val="en-US" w:eastAsia="zh-CN"/>
        </w:rPr>
        <w:t xml:space="preserve">  </w:t>
      </w:r>
      <w:r>
        <w:rPr>
          <w:rFonts w:ascii="宋体" w:eastAsia="宋体" w:hAnsi="宋体" w:cs="宋体" w:hint="eastAsia"/>
          <w:lang w:val="en-US" w:eastAsia="zh-CN"/>
        </w:rPr>
        <w:t>本课题以“个案分析、法理辨析、本地实证、制度构想、地方对策”为主线展开论述，以LV诉茉莉奶白商标侵权案引发的行业争议为切入点，对公共文化资源固有的属性和商标权权利行使的界限进行分析，并将域外传统知识保护的经验纳入论证范畴，梳理滨州黄河非遗纹样的资源储备和文创产业运行情况，归纳出市场主体经常遇到的知识产权风险，分析商标审查规则改进方向和区域性的非遗纹样数据库创建途径，以滨州“守一堂”非遗司法保护工程为基础，为当地提供符合实际的治理方案，也为文创企业制定合规指引。</w:t>
      </w:r>
    </w:p>
    <w:p w14:paraId="4B1436E1">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eastAsia"/>
          <w:lang w:val="en-US" w:eastAsia="zh-CN"/>
        </w:rPr>
      </w:pPr>
    </w:p>
    <w:p w14:paraId="7A4A7523">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1.参加人员状况</w:t>
      </w:r>
    </w:p>
    <w:p w14:paraId="4482DAA8">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XX，XX单位，XX专业，XX职称。在多年的有关XXX的研究中主持了XXX课题，在XXX刊物上发表有关XXX方面论文十余篇，主要研究方向为XXX，有较好的理论基础及课题组织经验，对本课题有全面的设计规划。</w:t>
      </w:r>
    </w:p>
    <w:p w14:paraId="41A3FBA6">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p>
    <w:p w14:paraId="757D3851">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XX，XX单位，XX专业，XX职称。从事多年的实务工作，参加过某某项目的实施工作，对某某业务流程比较熟悉，在某某方面有较多的工作经验，主要负责本课题实地调研、样本采集以及实证分析等工作。</w:t>
      </w:r>
    </w:p>
    <w:p w14:paraId="16A6D694">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XXX，XXX单位，XXX专业，XXX职称。主要研究XXX，发表过XXX论文，参加过XXX课题，对XXX有研究兴趣，可用XXX研究方法整理资料、域外经验的整理以及撰写研究报告。</w:t>
      </w:r>
    </w:p>
    <w:p w14:paraId="35ED9804">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2.资料准备情况</w:t>
      </w:r>
    </w:p>
    <w:p w14:paraId="6FA5240D">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课题组已经完成了前期资料的搜集整理，收集了商标法、非物质文化遗产法、地理标志保护相关法律及司法解释的文本，整理了LV诉茉莉奶白案等典型案例的判决书、学理评述，查阅了域外传统知识保护以及公有领域保留原则相关文献，从滨州法院“守一堂”非遗司法保护工程中获得本地非遗维权案件实务材料，对滨州剪纸、阳信地毯、无棣贝瓷、布老虎等非遗纹样的现状有了初步了解，给课题研究工作提供一定的资料支持。</w:t>
      </w:r>
    </w:p>
    <w:p w14:paraId="0FD136DA">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3.科研手段</w:t>
      </w:r>
    </w:p>
    <w:p w14:paraId="50C822D4">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本课题运用案例分析法、规范分析法、实地调研法和比较研究法来完成全部的研究工作，以LV诉茉莉奶白商标侵权案作为主要的研究案例，对案件裁判文书中的论证逻辑以及舆论场域中产生分歧的观点进行梳理，发现公有传统纹样二次改造之后导致商标权利纠纷的原因，规范分析法会聚焦我国商标法体系中有关商标显著性认定、公有领域素材使用、驰名商标跨类保护的法律规定进行教义学解释，厘清公共文化资源固有的属性与商标私权效力之间的法理界限，课题组前往滨州本地的文博场馆、非遗工坊、文创经营单位进行半结构化的访谈，获得剪纸、阳信地毯串枝纹、无棣贝瓷纹饰、布老虎纹样开发运营过程中产生的素材，整理市场主体在纹样选取、商标申请、IP管理方面的实际困难，比较研究法将关注域外传统知识保护的相关制度安排，筛选适合我国法治环境的治理经验，课题研究主体也会基于滨州“守一堂”非遗司法保护工程取得的实践经验，对商标溯源审查机制、区域纹样资源库构建、多方主体协同治理方案进行可行性推演，为地方文创业提供可执行的合规建议。</w:t>
      </w:r>
    </w:p>
    <w:p w14:paraId="21E11E4E">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研究实施计划：</w:t>
      </w:r>
    </w:p>
    <w:p w14:paraId="2EE46A15">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本课题自2026年11月启动，周期一年，分三个阶段推进。</w:t>
      </w:r>
    </w:p>
    <w:p w14:paraId="1912FA9D">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第一阶段（2026年11月至2027年2月），即对个案的剖析以及法理的阐释。课题组从LV诉茉莉奶白案等案件入手，对公共纹样商用权利冲突的类型进行了整理，并对公共纹样的著作权和商标权边界进行了分析，学习域外传统知识保护的经验，梳理文献综述并形成理论框架，形成阶段性研究报告。</w:t>
      </w:r>
    </w:p>
    <w:p w14:paraId="77765667">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第二阶段是2027年3月至2027年7月的本地实证以及制度设想。课题组到滨州实地访谈、搜集样本，了解滨州地区剪纸、阳信地毯串枝纹样、无棣贝瓷纹饰、布老虎等非物质文化遗产纹样资源及产业发展状况，梳理中小文创企业、非遗传承人知识产权风险，给出商标审查规则优化建议，提出地方纹样库建设方案，编制实地调查报告及制度构想文稿。</w:t>
      </w:r>
    </w:p>
    <w:p w14:paraId="113CB82A">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第三阶段（2027年8月至2027年10月）地方对策及成果。课题组与滨州“守一堂”司法机制对接，制定多主体协同地方治理对策、企业合规指引，聘请专家论证、听取实务意见，整理修改全部研究资料，完成全部研究报告，为课题结项做好准备，使研究结果能够进入司法参考和实务指引的实践当中。</w:t>
      </w:r>
    </w:p>
    <w:p w14:paraId="09D9BCA1">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个人主要研究成果：</w:t>
      </w:r>
    </w:p>
    <w:p w14:paraId="7FB8B1D2">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default"/>
          <w:lang w:val="en-US" w:eastAsia="zh-CN"/>
        </w:rPr>
      </w:pPr>
      <w:r>
        <w:rPr>
          <w:rFonts w:ascii="宋体" w:eastAsia="宋体" w:hAnsi="宋体" w:cs="宋体" w:hint="default"/>
          <w:lang w:val="en-US" w:eastAsia="zh-CN"/>
        </w:rPr>
        <w:t>课题负责人长期从事XXX领域的研究，主持了XXX课题，参与了XXX项目，在XXX期刊上发表过有关XXX问题的论文多篇，其中《XXX》主要研究XXX问题，为本课题的研究打下了坚实的基础。课题组的其他成员在不同方面取得了一些研究成果，有研究报告、实务指引的《XXX》和《XXX》，和本课题有关公共文化资源保护、商标权边界、地方文创产业合规等议题有着很高的契合度，能给本课题研究提供学术支持以及实践条件。</w:t>
      </w: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15129B"/>
    <w:rsid w:val="3F15129B"/>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31</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2026-10-27T06:53:00Z</dcterms:created>
  <dcterms:modified xsi:type="dcterms:W3CDTF">2026-10-27T07:32:31Z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36B9E1B93C6544BDB446263CEA24517D_11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