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70C8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</w:rPr>
      </w:pPr>
      <w:r>
        <w:rPr>
          <w:rFonts w:ascii="宋体" w:eastAsia="宋体" w:hAnsi="宋体" w:cs="宋体" w:hint="eastAsia"/>
          <w:color w:val="0000FF"/>
        </w:rPr>
        <w:t>摘要</w:t>
      </w:r>
      <w:r>
        <w:rPr>
          <w:rFonts w:ascii="宋体" w:eastAsia="宋体" w:hAnsi="宋体" w:cs="宋体" w:hint="eastAsia"/>
          <w:color w:val="0000FF"/>
          <w:lang w:eastAsia="zh-CN"/>
        </w:rPr>
        <w:t>：</w:t>
      </w:r>
      <w:r>
        <w:rPr>
          <w:rFonts w:ascii="宋体" w:eastAsia="宋体" w:hAnsi="宋体" w:cs="宋体" w:hint="eastAsia"/>
          <w:color w:val="0000FF"/>
        </w:rPr>
        <w:t>在数字经济与教育数字化双轮驱动下，高校的传统双创课存在着内容静态化、实践不足、评价单一化、治理碎片化的结构缺陷，不能很好地满足区域数字产业人才需求。本文从任课教师经济师的实践角度出发，采用建构主义以及产教融合理论等来建构AIGC赋能双创课程的作用机理，针对四大主要矛盾构建起课程、实践、评价、治理四个维度的数智教学体系，增加产业经济测算模块、数字创业风险实训模块，从逻辑、实践两个层面证明本文所提教学体系是可行的。能给高校双创课程数字化转型提供一种可行的方法。</w:t>
      </w:r>
    </w:p>
    <w:p w14:paraId="5CC6A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</w:rPr>
      </w:pPr>
    </w:p>
    <w:p w14:paraId="59ECC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</w:rPr>
      </w:pPr>
      <w:bookmarkStart w:id="0" w:name="_GoBack"/>
      <w:bookmarkEnd w:id="0"/>
      <w:r>
        <w:rPr>
          <w:rFonts w:ascii="宋体" w:eastAsia="宋体" w:hAnsi="宋体" w:cs="宋体" w:hint="eastAsia"/>
          <w:color w:val="0000FF"/>
        </w:rPr>
        <w:t>创建长效合作机制，企业经济师到校担任校外导师，校企合作开发产业实训课题，有关部门设立数字双创专项扶持资金支持平台建设，另设AI伦理审查小组对产业数据进行存储、使用进行规范，防止商业数据泄露以及技术滥用。体系运作采取季度复盘的方式，使得供需匹配处在动态的改进当中。以季度为周期做治理效果的复盘，根据产业变动、教学反馈的变化来改变协同的主攻方向，保证课程体系同产业需求是动态匹配的，形成一个闭环的“需求传递、课程更新、成效回溯、不断改进”过程。</w:t>
      </w:r>
    </w:p>
    <w:p w14:paraId="10D7A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</w:rPr>
      </w:pPr>
      <w:r>
        <w:rPr>
          <w:rFonts w:ascii="宋体" w:eastAsia="宋体" w:hAnsi="宋体" w:cs="宋体" w:hint="eastAsia"/>
          <w:color w:val="0000FF"/>
        </w:rPr>
        <w:t>4结语</w:t>
      </w:r>
    </w:p>
    <w:p w14:paraId="520D7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</w:rPr>
      </w:pPr>
      <w:r>
        <w:rPr>
          <w:rFonts w:ascii="宋体" w:eastAsia="宋体" w:hAnsi="宋体" w:cs="宋体" w:hint="eastAsia"/>
          <w:color w:val="0000FF"/>
        </w:rPr>
        <w:t>在数字化转型的潮流之下，AIGC给高校双创课程提供系统化的内容静态、实践空白、评价单一、治理零散等结构矛盾的技术方案。本文搭建的分层动态课程、四师协同实践、多模态智能评价、敏捷全域治理四个教学模块，每个模块都对应着课程自身的问题，给出了有条理的分层落地方案，能够实现技术赋能和育人目标的双重满足。</w:t>
      </w:r>
    </w:p>
    <w:p w14:paraId="3BC49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</w:rPr>
      </w:pPr>
      <w:r>
        <w:rPr>
          <w:rFonts w:ascii="宋体" w:eastAsia="宋体" w:hAnsi="宋体" w:cs="宋体" w:hint="eastAsia"/>
          <w:color w:val="0000FF"/>
        </w:rPr>
        <w:t>根据不同的高校学科特色、计算能力和经费情况分阶段推进整个教学体系，先对内容进行更新以及评价改革模块进行加强，最后逐步扩大实践仿真、全域治理能力。落地时要不断优化垂直行业数据集，优化人机协同教学流程，不能让技术应用陷入形式化的误区，应该把学生的成长作为中心，把双创课程由传统的理论授课方式转变为数智化、实战化、个性化的新一代育人模式，给数字经济的发展提供有创新精神、具备人机协同能力的复合型创业人才。</w:t>
      </w:r>
    </w:p>
    <w:p w14:paraId="5009A1BA">
      <w:pPr>
        <w:rPr>
          <w:rFonts w:ascii="宋体" w:eastAsia="宋体" w:hAnsi="宋体" w:cs="宋体"/>
          <w:color w:val="auto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EF1E8A"/>
    <w:rsid w:val="14926B19"/>
    <w:rsid w:val="277C1782"/>
    <w:rsid w:val="31637F9E"/>
    <w:rsid w:val="389B393F"/>
    <w:rsid w:val="3F7A774D"/>
    <w:rsid w:val="570861EB"/>
    <w:rsid w:val="583C439E"/>
    <w:rsid w:val="5BCF552A"/>
    <w:rsid w:val="67654F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2029</Words>
  <Characters>2056</Characters>
  <Application>Microsoft Office Word</Application>
  <DocSecurity>0</DocSecurity>
  <Lines>0</Lines>
  <Paragraphs>0</Paragraphs>
  <ScaleCrop>false</ScaleCrop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LZW</cp:lastModifiedBy>
  <cp:revision>0</cp:revision>
  <dcterms:created xsi:type="dcterms:W3CDTF">2026-10-26T14:51:00Z</dcterms:created>
  <dcterms:modified xsi:type="dcterms:W3CDTF">2026-10-27T04:38:24Z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60C72103D95047B48572D91F63CE4747_12</vt:lpwstr>
  </property>
  <property fmtid="{D5CDD505-2E9C-101B-9397-08002B2CF9AE}" pid="3" name="KSOProductBuildVer">
    <vt:lpwstr>2052-12.1.0.29158</vt:lpwstr>
  </property>
  <property fmtid="{D5CDD505-2E9C-101B-9397-08002B2CF9AE}" pid="4" name="KSOTemplateDocerSaveRecord">
    <vt:lpwstr>eyJoZGlkIjoiYjliNGU1MDU5OTVlZTMyNDI4OGIwY2FmMjJmODI2YmYiLCJ1c2VySWQiOiIzMTM0ODA4NDEifQ==</vt:lpwstr>
  </property>
</Properties>
</file>