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3436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ajorEastAsia" w:eastAsiaTheme="majorEastAsia" w:hAnsiTheme="majorEastAsia" w:cstheme="majorEastAsia" w:hint="default"/>
          <w:color w:val="auto"/>
          <w:sz w:val="21"/>
          <w:szCs w:val="21"/>
          <w:lang w:val="en-US" w:eastAsia="zh-CN"/>
        </w:rPr>
      </w:pPr>
      <w:r>
        <w:rPr>
          <w:rFonts w:asciiTheme="majorEastAsia" w:eastAsiaTheme="majorEastAsia" w:hAnsiTheme="majorEastAsia" w:cstheme="majorEastAsia" w:hint="eastAsia"/>
          <w:color w:val="auto"/>
          <w:sz w:val="21"/>
          <w:szCs w:val="21"/>
          <w:lang w:val="en-US" w:eastAsia="zh-CN"/>
        </w:rPr>
        <w:t>作者简介</w:t>
      </w:r>
      <w:r>
        <w:rPr>
          <w:rFonts w:asciiTheme="majorEastAsia" w:eastAsiaTheme="majorEastAsia" w:hAnsiTheme="majorEastAsia" w:cstheme="majorEastAsia" w:hint="eastAsia"/>
          <w:color w:val="auto"/>
          <w:sz w:val="21"/>
          <w:szCs w:val="21"/>
        </w:rPr>
        <w:t>：陈淑棅（1991年8月—）女，汉族，广西</w:t>
      </w:r>
      <w:r>
        <w:rPr>
          <w:rFonts w:asciiTheme="majorEastAsia" w:eastAsiaTheme="majorEastAsia" w:hAnsiTheme="majorEastAsia" w:cstheme="majorEastAsia" w:hint="eastAsia"/>
          <w:color w:val="auto"/>
          <w:sz w:val="21"/>
          <w:szCs w:val="21"/>
          <w:lang w:eastAsia="zh-CN"/>
        </w:rPr>
        <w:t>，</w:t>
      </w:r>
      <w:r>
        <w:rPr>
          <w:rFonts w:asciiTheme="majorEastAsia" w:eastAsiaTheme="majorEastAsia" w:hAnsiTheme="majorEastAsia" w:cstheme="majorEastAsia" w:hint="eastAsia"/>
          <w:color w:val="auto"/>
          <w:sz w:val="21"/>
          <w:szCs w:val="21"/>
        </w:rPr>
        <w:t>本科,经济师、电子商务师，创新创业、品牌策划、新媒体营销</w:t>
      </w:r>
      <w:r>
        <w:rPr>
          <w:rFonts w:asciiTheme="majorEastAsia" w:eastAsiaTheme="majorEastAsia" w:hAnsiTheme="majorEastAsia" w:cstheme="majorEastAsia" w:hint="eastAsia"/>
          <w:color w:val="auto"/>
          <w:sz w:val="21"/>
          <w:szCs w:val="21"/>
          <w:lang w:val="en-US" w:eastAsia="zh-CN"/>
        </w:rPr>
        <w:t>没有职称</w:t>
      </w:r>
    </w:p>
    <w:p w14:paraId="0EFD64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ajorEastAsia" w:eastAsiaTheme="majorEastAsia" w:hAnsiTheme="majorEastAsia" w:cstheme="majorEastAsia" w:hint="eastAsia"/>
          <w:color w:val="auto"/>
          <w:sz w:val="21"/>
          <w:szCs w:val="21"/>
        </w:rPr>
      </w:pPr>
      <w:r>
        <w:rPr>
          <w:rFonts w:asciiTheme="majorEastAsia" w:eastAsiaTheme="majorEastAsia" w:hAnsiTheme="majorEastAsia" w:cstheme="majorEastAsia" w:hint="eastAsia"/>
          <w:color w:val="auto"/>
          <w:sz w:val="21"/>
          <w:szCs w:val="21"/>
        </w:rPr>
        <w:t>数字化转型背景下AIGC赋能双创课程教学体系构建</w:t>
      </w:r>
    </w:p>
    <w:p w14:paraId="6CD7C727">
      <w:pPr>
        <w:keepNext w:val="0"/>
        <w:keepLines w:val="0"/>
        <w:pageBreakBefore w:val="0"/>
        <w:widowControl w:val="0"/>
        <w:tabs>
          <w:tab w:val="left" w:pos="2898"/>
        </w:tabs>
        <w:kinsoku/>
        <w:wordWrap/>
        <w:overflowPunct/>
        <w:topLinePunct w:val="0"/>
        <w:autoSpaceDE/>
        <w:autoSpaceDN/>
        <w:bidi w:val="0"/>
        <w:adjustRightInd/>
        <w:snapToGrid/>
        <w:spacing w:line="360" w:lineRule="auto"/>
        <w:jc w:val="center"/>
        <w:textAlignment w:val="auto"/>
        <w:rPr>
          <w:rFonts w:asciiTheme="majorEastAsia" w:eastAsiaTheme="majorEastAsia" w:hAnsiTheme="majorEastAsia" w:cstheme="majorEastAsia" w:hint="eastAsia"/>
          <w:color w:val="auto"/>
          <w:sz w:val="21"/>
          <w:szCs w:val="21"/>
          <w:lang w:eastAsia="zh-CN"/>
        </w:rPr>
      </w:pPr>
      <w:r>
        <w:rPr>
          <w:rFonts w:asciiTheme="majorEastAsia" w:eastAsiaTheme="majorEastAsia" w:hAnsiTheme="majorEastAsia" w:cstheme="majorEastAsia" w:hint="eastAsia"/>
          <w:color w:val="auto"/>
          <w:sz w:val="21"/>
          <w:szCs w:val="21"/>
          <w:lang w:eastAsia="zh-CN"/>
        </w:rPr>
        <w:t>陈淑棅</w:t>
      </w:r>
    </w:p>
    <w:p w14:paraId="26F4E31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Theme="majorEastAsia" w:eastAsiaTheme="majorEastAsia" w:hAnsiTheme="majorEastAsia" w:cstheme="majorEastAsia" w:hint="default"/>
          <w:color w:val="auto"/>
          <w:sz w:val="21"/>
          <w:szCs w:val="21"/>
          <w:lang w:val="en-US" w:eastAsia="zh-CN"/>
        </w:rPr>
      </w:pPr>
      <w:r>
        <w:rPr>
          <w:rFonts w:asciiTheme="majorEastAsia" w:eastAsiaTheme="majorEastAsia" w:hAnsiTheme="majorEastAsia" w:cstheme="majorEastAsia" w:hint="eastAsia"/>
          <w:color w:val="auto"/>
          <w:sz w:val="21"/>
          <w:szCs w:val="21"/>
        </w:rPr>
        <w:t>南宁职业技术大学</w:t>
      </w:r>
      <w:r>
        <w:rPr>
          <w:rFonts w:asciiTheme="majorEastAsia" w:eastAsiaTheme="majorEastAsia" w:hAnsiTheme="majorEastAsia" w:cstheme="majorEastAsia" w:hint="eastAsia"/>
          <w:color w:val="auto"/>
          <w:sz w:val="21"/>
          <w:szCs w:val="21"/>
          <w:lang w:val="en-US" w:eastAsia="zh-CN"/>
        </w:rPr>
        <w:t>530008</w:t>
      </w:r>
    </w:p>
    <w:p w14:paraId="1E5D01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摘要</w:t>
      </w:r>
      <w:r>
        <w:rPr>
          <w:rFonts w:ascii="宋体" w:eastAsia="宋体" w:hAnsi="宋体" w:cs="宋体" w:hint="eastAsia"/>
          <w:color w:val="0000FF"/>
          <w:lang w:eastAsia="zh-CN"/>
        </w:rPr>
        <w:t>：</w:t>
      </w:r>
      <w:r>
        <w:rPr>
          <w:rFonts w:ascii="宋体" w:eastAsia="宋体" w:hAnsi="宋体" w:cs="宋体" w:hint="eastAsia"/>
          <w:color w:val="0000FF"/>
        </w:rPr>
        <w:t>在数字经济和教育数字化的双轮驱动之下，高校传统双创课存在内容静态化、实践缺失、评价单一化、治理碎片化等结构性缺陷，不能很好地适应区域数字产业的人才需求。本文从任课教师的经济师实践角度出发，运用建构主义、产教融合理论等建构AIGC赋能双创课程的作用机理，并针对四大主要矛盾构建起“课程-实践-评价-治理”四维一体化的数智教学体系，增加产业经济测算和数字创业风险实训模块，从逻辑和实践两个方面证明本研究提出的教学体系具有可行性。可以给高校双创课程数字化转型提供可操作的模式。</w:t>
      </w:r>
    </w:p>
    <w:p w14:paraId="33754D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关键词：数字化转型；AIGC；创新创业课程；专创融合；数字商贸</w:t>
      </w:r>
    </w:p>
    <w:p w14:paraId="3E7E79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p>
    <w:p w14:paraId="7C83E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引言：</w:t>
      </w:r>
      <w:r>
        <w:rPr>
          <w:rFonts w:ascii="宋体" w:eastAsia="宋体" w:hAnsi="宋体" w:cs="宋体" w:hint="eastAsia"/>
          <w:color w:val="0000FF"/>
          <w:lang w:eastAsia="zh-CN"/>
        </w:rPr>
        <w:t>2</w:t>
      </w:r>
      <w:r>
        <w:rPr>
          <w:rFonts w:ascii="宋体" w:eastAsia="宋体" w:hAnsi="宋体" w:cs="宋体" w:hint="eastAsia"/>
          <w:color w:val="0000FF"/>
        </w:rPr>
        <w:t>025年教育部门关于加快教育数字化的指导意见中提出学科专业数字化升级、数智技术融入人才培养的要求。目前数字商贸、数字创业产业规模不断扩展，但是高校双创课程仍然停留在传统的商科模式下，没有把产业经济测算、经营风险分析等重要的内容纳入到课程中去，造成人才供给和产业需求严重错配。已有关于AIGC双创教育的研究大多集中在通用教学模式上，存在三个方面的研究空白，即场景层面缺少细分产业赛道本土化的设计，研究视角缺少商科经济师的产业经营研判角度，实践层面没有形成从课程、实践、评价到治理的完整教学链条，不能满足数字创业人才精准培养的需求。</w:t>
      </w:r>
    </w:p>
    <w:p w14:paraId="52806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1数字化转型下双创课程现存结构性矛盾</w:t>
      </w:r>
    </w:p>
    <w:p w14:paraId="625478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1.1课程内容静态化，跨学科知识整合能力不足</w:t>
      </w:r>
    </w:p>
    <w:p w14:paraId="763117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传统的双创教材更新周期一般在两年到三年之间，所选取的案例主要是经过成熟传统企业经营实践的案例，缺少数字商贸、垂直赛道创业这样的前沿素材，商科理论同产业经济数据被割裂开来，学生无法形成完整的市场成本收益思维。具有经济师资格的老师进行产业信息收集效率低，不能及时获取产业政策的调整、流量成本的波动以及市场供求的变动，课堂案例与产业实际情况相脱离，学生所撰写的商业方案大多缺少严密的经济计算支撑，逻辑推演多依靠定性的阐述，缺少量化的支撑</w:t>
      </w:r>
      <w:r>
        <w:rPr>
          <w:rFonts w:ascii="宋体" w:eastAsia="宋体" w:hAnsi="宋体" w:cs="宋体" w:hint="eastAsia"/>
          <w:color w:val="0000FF"/>
          <w:vertAlign w:val="superscript"/>
          <w:lang w:val="en-US" w:eastAsia="zh-CN"/>
        </w:rPr>
        <w:t>[1]</w:t>
      </w:r>
      <w:r>
        <w:rPr>
          <w:rFonts w:ascii="宋体" w:eastAsia="宋体" w:hAnsi="宋体" w:cs="宋体" w:hint="eastAsia"/>
          <w:color w:val="0000FF"/>
        </w:rPr>
        <w:t>。</w:t>
      </w:r>
    </w:p>
    <w:p w14:paraId="1F33CD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1.2教学模式单向化，实践教学场景供给短缺</w:t>
      </w:r>
    </w:p>
    <w:p w14:paraId="6BF400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目前大多数的双创课堂都实行“教师讲授加期末提交商业计划书”的单向教学模式，小组讨论、线下比赛只是作为辅助的形式存在，真实的创业场景不能被复现到正常的教学活动中。校内实体孵化基地工位、实训场地有限，很少有优秀的项目可以进入实体孵化基地，大多数学生不能完整走过研发产品、线上运营、投融资洽谈的整个流程，传统的创业沙盘只做基础的财务模拟，不能体现数字流量运营、算法产品更新、用户增长测试这些新的创业行为，实践训练和产业真实运作之间存在明显的断层</w:t>
      </w:r>
      <w:r>
        <w:rPr>
          <w:rFonts w:ascii="宋体" w:eastAsia="宋体" w:hAnsi="宋体" w:cs="宋体" w:hint="eastAsia"/>
          <w:color w:val="0000FF"/>
          <w:vertAlign w:val="superscript"/>
          <w:lang w:val="en-US" w:eastAsia="zh-CN"/>
        </w:rPr>
        <w:t>[2]</w:t>
      </w:r>
      <w:r>
        <w:rPr>
          <w:rFonts w:ascii="宋体" w:eastAsia="宋体" w:hAnsi="宋体" w:cs="宋体" w:hint="eastAsia"/>
          <w:color w:val="0000FF"/>
        </w:rPr>
        <w:t>。</w:t>
      </w:r>
    </w:p>
    <w:p w14:paraId="12D8D2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1.3教学评价唯结果化，全过程数据采集缺失</w:t>
      </w:r>
    </w:p>
    <w:p w14:paraId="72E46F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目前双创课程考核标准单一，以课程论文、竞赛奖项、工商注册企业数量为主，属于典型的以结果为导向的评价方式，不能很好地体现学生的机会识别、市场观察、团队合作、抗压抗挫这些创业能力中的关键素质。线下教学场景缺少自动化数据保存工具，学生创意研讨、方案多次修订、模拟谈判等教学过程中学生的行为无法被完整地记录下来，教师只能通过期末学生提交的静态材料来评定学生，不能对每一位学生在商业模式设计、市场分析等模块存在的能力不足做出准确的诊断，更无法给学生提供分层、个性化的教学建议。评价结果只能体现最终的成果，不能体现学生成长的轨迹，不符合能力导向的育人理念，也不能满足数字化人才评价的需求。</w:t>
      </w:r>
    </w:p>
    <w:p w14:paraId="6933E8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1.4课程治理碎片化，内外协同机制脱钩</w:t>
      </w:r>
    </w:p>
    <w:p w14:paraId="7DD704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校内各部门之间存在着数据孤岛，课程调整缺少及时的产业需求数据支持，校外企业由于商业数据保密的原因，不能持续地向高校提供经营指标以及真实的项目案例，造成政策、产业、教学信息的传递存在时间差，产业端的人才需求不能迅速传递到课程供给端。高校科层制垂直化管理与生成式人工智能应用所要求的扁平化、敏捷创新生态之间存在着很大的脱节，人才供需失衡的现象也更加严重了。</w:t>
      </w:r>
    </w:p>
    <w:p w14:paraId="6F1562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2AIGC赋能双创课程的底层作用机理</w:t>
      </w:r>
    </w:p>
    <w:p w14:paraId="00809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2.1动态知识生成机理：破解课程内容静态难题</w:t>
      </w:r>
    </w:p>
    <w:p w14:paraId="30241B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双创垂直教育大模型就是以通用大模型为基础，在双创教学场景下做领域微调的专用人工智能模型，可以定向产生创业案例、产业数据以及实训任务这些教学材料。可以24小时不间断地抓取产业政策、赛道投融资、标杆创业案例等各种各样的异构数据，快速产生模块化的教学素材，并且使用动态的知识图谱打破各个学科间的壁垒。该逻辑符合建构主义学习理论所主张的“情境化资源供给、对话式智能引领”，使学生由“被动接受”变为“主动建构”。</w:t>
      </w:r>
    </w:p>
    <w:p w14:paraId="1486AC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2.2虚实共生教学交互机理：补足实践场景缺口</w:t>
      </w:r>
    </w:p>
    <w:p w14:paraId="24E11D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使用AIGC与数字孪生仿真技术创建轻量级虚拟创业实训空间，创建以“专业教师、创业教师、企业导师、AI智能导师”四元主体为主的虚拟创业四维课堂。AI智能导师负责备课、习题自动生成、即时答疑和课堂数据采集这些重复性的工作，把教师的精力更多地集中在引导创新思维、塑造价值观上，数字孪生场景能完整的复制出产品开发、流量投放、融资谈判等各个创业周期的所有行为，学生可以无限次无成本地尝试错误，完全克服实体孵化基地容量小、实训场景少的问题</w:t>
      </w:r>
      <w:r>
        <w:rPr>
          <w:rFonts w:ascii="宋体" w:eastAsia="宋体" w:hAnsi="宋体" w:cs="宋体" w:hint="eastAsia"/>
          <w:color w:val="0000FF"/>
          <w:vertAlign w:val="superscript"/>
          <w:lang w:val="en-US" w:eastAsia="zh-CN"/>
        </w:rPr>
        <w:t>[3]</w:t>
      </w:r>
      <w:r>
        <w:rPr>
          <w:rFonts w:ascii="宋体" w:eastAsia="宋体" w:hAnsi="宋体" w:cs="宋体" w:hint="eastAsia"/>
          <w:color w:val="0000FF"/>
        </w:rPr>
        <w:t>。</w:t>
      </w:r>
    </w:p>
    <w:p w14:paraId="44F67F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2.3个性化学习适配机理：改善单向教学弊端</w:t>
      </w:r>
    </w:p>
    <w:p w14:paraId="108547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根据建构主义“以学习者为中心”的基本思想，用AIGC自动采集课堂互动、项目迭代、模拟实训等各种各样的数据来形成学生双创能力的动态数字画像，找到学生在市场分析、产品设计、风险控制等各方面的不足之处，根据不同的学习情况提供相应的案例、实训项目和拓展资料。对零基础新生推送创业通识和AIGC工具规范的内容，对有创业意愿的高年级学生推送细分赛道的深度分析和投融资模拟工具，最终达到自适应分层教学的目的，满足各个基础学生不同的成长需求。</w:t>
      </w:r>
    </w:p>
    <w:p w14:paraId="29A65E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2.4全流程评价赋能机理：重构单一评价体系</w:t>
      </w:r>
    </w:p>
    <w:p w14:paraId="36026C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该机理是以全过程评价理论为基础，打破以往只重视结果考核的考核方式，全方位地记录学习周期内的能力发展过程。依靠AIGC自然语言处理和多模态语义解码技术，可以把商业计划书、路演视频、小组对话的文本拆解成学生创新思维、团队合作等隐性素养的量表；并且保存下项目的全部迭代过程的时序数据，自动生成阶段性的成长诊断报告。智能化技术介入之后，评价由只关注结果的评价向重视结果又重视能力的评价转变，冲破了传统的只重结果的考核模式，使评价真正服务于学生能力的发展。</w:t>
      </w:r>
    </w:p>
    <w:p w14:paraId="562D5E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3数字化转型下AIGC赋能双创课程完整教学体系构建</w:t>
      </w:r>
    </w:p>
    <w:p w14:paraId="3EBBC2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3.1分层模块化动态课程内容体系</w:t>
      </w:r>
    </w:p>
    <w:p w14:paraId="5BA304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分层模块化课程内容体系瞄准传统课程素材滞后、学科壁垒严重的痛点，建立“通识基础-专创融合-高阶实战”三级动态矩阵，用双创垂直AIGC大模型对素材进行实时更新，并且可以智能匹配跨学科资源</w:t>
      </w:r>
      <w:r>
        <w:rPr>
          <w:rFonts w:ascii="宋体" w:eastAsia="宋体" w:hAnsi="宋体" w:cs="宋体" w:hint="eastAsia"/>
          <w:color w:val="0000FF"/>
          <w:vertAlign w:val="superscript"/>
          <w:lang w:val="en-US" w:eastAsia="zh-CN"/>
        </w:rPr>
        <w:t>[4]</w:t>
      </w:r>
      <w:r>
        <w:rPr>
          <w:rFonts w:ascii="宋体" w:eastAsia="宋体" w:hAnsi="宋体" w:cs="宋体" w:hint="eastAsia"/>
          <w:color w:val="0000FF"/>
        </w:rPr>
        <w:t>。各个层次都有标准的AIGC实训模块，可以对各学段、各专业的课程进行分层教学内容和训练难度的改变。通识基础层是大一全体学生，主要是为学生夯实数字素养、创新认知的基础。本层次开设创新思维、数字素养、创业伦理等基础课，配合智能头脑风暴、案例动态生成等实训手段，使学生对创业行为有初步的认识，防止学生以后的学习走入纯理论的误区。实训任务设计阶梯式递进，先从单个的创意发散到完整的逻辑梳理，最后培养学生的问题意识和结构化思考。专创融合层是大二、大三阶段的对接点，主要是专业和创业能力双向渗透。在本层级开设专业+数字创业、产业数据分析、数字产品设计等专业课程，使用行业知识检索、报告自动生成、原型多模态生成等AIGC工具来培养学生专业数字化创新能力、人机协同开发能力。各专业的专业场景不一样，工科侧重技术成果的市场化，商科侧重经营模式的改进，不能流于形式的专创融合，而应使专业知识与创业能力共同成长。高阶实战层是大四和双创实验班学生提高全链条落地能力的训练场。本层是项目孵化、投融资对接、成果转化、风险控制的教学，以经营仿真、风险智能诊断等实训为手段，使学生能够独立地开展创业项目、处理创业风险。训练以真实的产业问题为载体，使学生从市场调研到方案落地的全过程进行推演，可以将可以对接孵化渠道的商业方案直接输出到孵化渠道，缩减从课堂到产业的适应时间。所有课程资源被放入资源中台，让教师可以自由地调用和调整。教师按教学进度、学生意见二次编辑素材、改变模块比例，很好地解决了内容供给方面素材收集效率低、跨学科整合难等难题，保证了课程内容的契合度和前沿性。</w:t>
      </w:r>
    </w:p>
    <w:p w14:paraId="3A4C9D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3.2数字孪生四师协同实践教学体系</w:t>
      </w:r>
    </w:p>
    <w:p w14:paraId="75BE1C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四师协同数字孪生实践体系对产业实训工位匮乏，经营指标无法模拟的矛盾进行解决，建立适合经济师角度的实操训练框架。四种导师权责分明，建构起一种相互帮助、互相支持的实践指导网络。AI智能导师生成行业成本、营收的基础测算模板并存留学生整个经营模拟的过程数据，做基础的产业数据计算和标准检验工作；专业教师拆解专业技术落地成本逻辑，检验方案的技术可行性；校内创业教师组织产业盈利方案研讨，引领学生完善商业逻辑；企业经济师、创业导师把真实经营数据带入仿真场景，修正虚拟场景中测算出的错误，保证仿真训练接近于产业的实际情况。数字孪生仿真平台可对经营指标做全方位的模拟</w:t>
      </w:r>
      <w:r>
        <w:rPr>
          <w:rFonts w:ascii="宋体" w:eastAsia="宋体" w:hAnsi="宋体" w:cs="宋体" w:hint="eastAsia"/>
          <w:color w:val="0000FF"/>
          <w:vertAlign w:val="superscript"/>
          <w:lang w:val="en-US" w:eastAsia="zh-CN"/>
        </w:rPr>
        <w:t>[5]</w:t>
      </w:r>
      <w:r>
        <w:rPr>
          <w:rFonts w:ascii="宋体" w:eastAsia="宋体" w:hAnsi="宋体" w:cs="宋体" w:hint="eastAsia"/>
          <w:color w:val="0000FF"/>
        </w:rPr>
        <w:t>。平台包含研发投入、流</w:t>
      </w:r>
      <w:bookmarkStart w:id="0" w:name="_GoBack"/>
      <w:bookmarkEnd w:id="0"/>
      <w:r>
        <w:rPr>
          <w:rFonts w:ascii="宋体" w:eastAsia="宋体" w:hAnsi="宋体" w:cs="宋体" w:hint="eastAsia"/>
          <w:color w:val="0000FF"/>
        </w:rPr>
        <w:t>量获取成本、融资估值、税务测算、供应链波动等模块，学生可以任意修改经营策略，随时得到收益曲线和风险预警，不受实体场地、启动资金的限制，所有的学生都可以完成完整的企业经营模拟训练。平台设有虚拟与现实联动通道，在虚拟测算是优秀的方案可以直接对接到线下孵化基地做真实的落地测算，将模拟训练变成真实的创业。课堂按照固定的四个步骤进行，重视学生的实践操作以及思维的引导。教学流程固定在“AI产业数据生成 -小组方案迭代 -四师联合研判 -孪生仿真测算”这四个步骤中，每一个步骤都有具体的成果和时间节点的要求，保证数字化经营的实操训练得以落实，同时重视学生产业思维的培养，解决了产业实训资源短缺，学生没有开展数字化经营实践活动的两大难题。</w:t>
      </w:r>
    </w:p>
    <w:p w14:paraId="30A611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3.3多模态全过程智能评价体系</w:t>
      </w:r>
    </w:p>
    <w:p w14:paraId="22627C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多模态全过程智能评价体系用经济师评价逻辑重新定义考核标准，解决传统评价重结果轻过程的问题。体系紧密契合“三教”改革育人评价的需求，创建以AIGC为驱动的产业适配评价五维框架，对学生的产业适应能力做市场、成本、风险、管理、伦理五个方面的全方位评价。五维评价框架对应的是核心创业能力，各个学段的评价权重不一样。市场层面考察学生对于市场供需关系的把握和发现机会的能力，成本层面考察学生对于数字建模以及精益管理的掌握情况，风险层面考察学生对于风险预判以及风险对冲的能力，管理层面考察学生对于团队经营与合作能力，伦理层面考察学生对于产业价值以及合规意识的掌握。基础阶段重在市场把握、伦理认识，实战阶段重在成本控制、风险应对，保证评价和学习的进度一致。采集学生整个学习过程的数据，避免人工评价所造成的数据盲区。系统可以自动保存学生完成的学习过程中的经济分析报告、经营模拟时序数据、路演推演视频这些资料，可以很好地体现出学生在全过程中的研判行为，很好地解决了人工不能长期采集测算的过程，不能追溯能力成长的问题。三级闭环评价体系涉及多方主体，保证评价的结果符合产业实际。AIGC根据行业基准数据来自动计算方案是否合理，在量化市场洞察、成本控制这些隐性能力之后给出初评结果，任课教师利用课堂研讨表现以及日常参与程度对算法进行修正，补充过程性评价环节，企业导师按照行业经营标准给打分，防止校内评价脱离产业的实际。评价结果及时反馈给学习资源，可以达到以评促学的正向循环。系统不断刷新学生的雷达图，根据模块推送相应的补学资源，虚拟实训记录和线下孵化成果同为折算学分的两种形式，学生数字创业的适配度一目了然，从评价端解决人才培养和产业需求之间的脱节问题。</w:t>
      </w:r>
    </w:p>
    <w:p w14:paraId="34BD6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3.4敏捷化全域协同治理体系</w:t>
      </w:r>
    </w:p>
    <w:p w14:paraId="3E65DF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敏捷化全域协同治理体系，把校内外的各种主体整合起来，解决课程治理碎片化的根本问题。数据中台依靠数据中台达成供需联动、实时更新的效果，从产业供需迅速传导的角度出发，构建AIGC数据中台引领的敏捷治理架构，打通校内教学同外部产业间数据的传递通道。校内治理依靠数据中台打破各部门壁垒，给教师提供能力提升的工具。打破部门数据孤岛，将课程、实训、学生能力评价等各方面数据进行整合，按月度对比课程内容与当下的行业人才需求指标，得出供需差异诊断报告，促使课程模块不断更新，保证课程更新速度跟产业变化相匹配。校外治理依靠政产学研共享机制，把产业需求传送到教学端上。建立常态化的数据共享渠道，政府部门把产业扶持政策同人才需求规划同步给到企业，企业将敏感的数据脱敏之后公开营收和成本等经营数据，科研院提供最新的产业经济测算模型，各类资源全部汇集到数据中台，转变为可以直接应用的教学素材。建立长效协同机制，企业经济师到校担任校外导师工作，校企合作开展产业实训课题开发，有关部门设立数字化双创专项扶持资金支持平台建设，另设AI伦理审查小组，规范产业数据的存储和使用，防范商业数据泄露及技术滥用的风险。体系运行采用季度复盘的形式，使供需匹配达到动态的优化。以季度为周期做治理效果的复盘，依照产业变动以及教学反馈的变化调整协同重点，持续保证课程体系同产业需求之间存在动态契合关系，形成长期的闭环即“需求传导-课程更新-成效回馈-持续改进”。</w:t>
      </w:r>
    </w:p>
    <w:p w14:paraId="5CCC89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4结语</w:t>
      </w:r>
    </w:p>
    <w:p w14:paraId="407D63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在数字化转型的大潮之下，AIGC给高校双创课程解决内容静态、实践缺乏、评价单一、治理零散这四个结构性矛盾给予了全面的技术解决办法。本文所搭建的分层动态课程、四师协同实践、多模态智能评价、敏捷全域治理四个教学模块，每一个模块都直接对接课程本身存在的问题，给出了条理清晰的分层落地路径，兼顾技术赋能效率和教育育人目标。</w:t>
      </w:r>
    </w:p>
    <w:p w14:paraId="29664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根据不同的高校的学科特色、算力和经费的不同，分阶段推进整个教学体系，先加强内容的更新和评价改革模块，再慢慢扩大实践仿真、全域治理的能力。落地时要不断改进垂直行业的数据集，改善人机协同教学流程，不能让技术的应用陷入形式化的误区，应该把学生能力的发展作为核心，将双创课程从传统的理论授课模式转变成数智化、实战化、个性化的新一代育人模式，为数字经济发展提供有创新意识和人机协同能力的复合型创业人才。</w:t>
      </w:r>
    </w:p>
    <w:p w14:paraId="37F9ED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rPr>
      </w:pPr>
    </w:p>
    <w:p w14:paraId="563B1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rPr>
      </w:pPr>
    </w:p>
    <w:p w14:paraId="287885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lang w:val="en-US" w:eastAsia="zh-CN"/>
        </w:rPr>
      </w:pPr>
      <w:r>
        <w:rPr>
          <w:rFonts w:asciiTheme="majorEastAsia" w:eastAsiaTheme="majorEastAsia" w:hAnsiTheme="majorEastAsia" w:cstheme="majorEastAsia" w:hint="eastAsia"/>
          <w:color w:val="auto"/>
          <w:sz w:val="21"/>
          <w:szCs w:val="21"/>
          <w:lang w:val="en-US" w:eastAsia="zh-CN"/>
        </w:rPr>
        <w:t>参考文献：</w:t>
      </w:r>
    </w:p>
    <w:p w14:paraId="68CF1A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rPr>
      </w:pPr>
      <w:r>
        <w:rPr>
          <w:rFonts w:asciiTheme="majorEastAsia" w:eastAsiaTheme="majorEastAsia" w:hAnsiTheme="majorEastAsia" w:cstheme="majorEastAsia" w:hint="eastAsia"/>
          <w:color w:val="auto"/>
          <w:sz w:val="21"/>
          <w:szCs w:val="21"/>
        </w:rPr>
        <w:t>[1]</w:t>
      </w:r>
      <w:r>
        <w:rPr>
          <w:rFonts w:asciiTheme="minorEastAsia" w:eastAsiaTheme="minorEastAsia" w:hAnsiTheme="minorEastAsia" w:cstheme="minorEastAsia" w:hint="eastAsia"/>
          <w:color w:val="auto"/>
        </w:rPr>
        <w:t>周前波.产教融合背景下应用型高校创新创业教育的路径创新与实践研究[J].产业创新研究,2025,(24):169-171.</w:t>
      </w:r>
    </w:p>
    <w:p w14:paraId="1689B2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rPr>
      </w:pPr>
      <w:r>
        <w:rPr>
          <w:rFonts w:asciiTheme="majorEastAsia" w:eastAsiaTheme="majorEastAsia" w:hAnsiTheme="majorEastAsia" w:cstheme="majorEastAsia" w:hint="eastAsia"/>
          <w:color w:val="auto"/>
          <w:sz w:val="21"/>
          <w:szCs w:val="21"/>
        </w:rPr>
        <w:t>[</w:t>
      </w:r>
      <w:r>
        <w:rPr>
          <w:rFonts w:asciiTheme="majorEastAsia" w:eastAsiaTheme="majorEastAsia" w:hAnsiTheme="majorEastAsia" w:cstheme="majorEastAsia" w:hint="eastAsia"/>
          <w:color w:val="auto"/>
          <w:sz w:val="21"/>
          <w:szCs w:val="21"/>
          <w:lang w:val="en-US" w:eastAsia="zh-CN"/>
        </w:rPr>
        <w:t>2</w:t>
      </w:r>
      <w:r>
        <w:rPr>
          <w:rFonts w:asciiTheme="majorEastAsia" w:eastAsiaTheme="majorEastAsia" w:hAnsiTheme="majorEastAsia" w:cstheme="majorEastAsia" w:hint="eastAsia"/>
          <w:color w:val="auto"/>
          <w:sz w:val="21"/>
          <w:szCs w:val="21"/>
        </w:rPr>
        <w:t>]宋艺文.高校大学生创新创业能力培育路径研究[J].中国商论,2021,(12):185-187.</w:t>
      </w:r>
    </w:p>
    <w:p w14:paraId="69ACBD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lang w:val="en-US" w:eastAsia="zh-CN"/>
        </w:rPr>
      </w:pPr>
      <w:r>
        <w:rPr>
          <w:rFonts w:asciiTheme="majorEastAsia" w:eastAsiaTheme="majorEastAsia" w:hAnsiTheme="majorEastAsia" w:cstheme="majorEastAsia" w:hint="eastAsia"/>
          <w:color w:val="auto"/>
          <w:sz w:val="21"/>
          <w:szCs w:val="21"/>
        </w:rPr>
        <w:t>[</w:t>
      </w:r>
      <w:r>
        <w:rPr>
          <w:rFonts w:asciiTheme="majorEastAsia" w:eastAsiaTheme="majorEastAsia" w:hAnsiTheme="majorEastAsia" w:cstheme="majorEastAsia" w:hint="eastAsia"/>
          <w:color w:val="auto"/>
          <w:sz w:val="21"/>
          <w:szCs w:val="21"/>
          <w:lang w:val="en-US" w:eastAsia="zh-CN"/>
        </w:rPr>
        <w:t>3</w:t>
      </w:r>
      <w:r>
        <w:rPr>
          <w:rFonts w:asciiTheme="majorEastAsia" w:eastAsiaTheme="majorEastAsia" w:hAnsiTheme="majorEastAsia" w:cstheme="majorEastAsia" w:hint="eastAsia"/>
          <w:color w:val="auto"/>
          <w:sz w:val="21"/>
          <w:szCs w:val="21"/>
        </w:rPr>
        <w:t>]马永霞,王琳.人工智能时代的创新创业教育：价值旨归、变革逻辑与实践路径[J].清华大学教育研究,2023,44(6):115-124.</w:t>
      </w:r>
    </w:p>
    <w:p w14:paraId="6A18C8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rPr>
      </w:pPr>
      <w:r>
        <w:rPr>
          <w:rFonts w:asciiTheme="majorEastAsia" w:eastAsiaTheme="majorEastAsia" w:hAnsiTheme="majorEastAsia" w:cstheme="majorEastAsia" w:hint="eastAsia"/>
          <w:color w:val="auto"/>
          <w:sz w:val="21"/>
          <w:szCs w:val="21"/>
        </w:rPr>
        <w:t>[</w:t>
      </w:r>
      <w:r>
        <w:rPr>
          <w:rFonts w:asciiTheme="majorEastAsia" w:eastAsiaTheme="majorEastAsia" w:hAnsiTheme="majorEastAsia" w:cstheme="majorEastAsia" w:hint="eastAsia"/>
          <w:color w:val="auto"/>
          <w:sz w:val="21"/>
          <w:szCs w:val="21"/>
          <w:lang w:val="en-US" w:eastAsia="zh-CN"/>
        </w:rPr>
        <w:t>4</w:t>
      </w:r>
      <w:r>
        <w:rPr>
          <w:rFonts w:asciiTheme="majorEastAsia" w:eastAsiaTheme="majorEastAsia" w:hAnsiTheme="majorEastAsia" w:cstheme="majorEastAsia" w:hint="eastAsia"/>
          <w:color w:val="auto"/>
          <w:sz w:val="21"/>
          <w:szCs w:val="21"/>
        </w:rPr>
        <w:t>]</w:t>
      </w:r>
      <w:r>
        <w:rPr>
          <w:rFonts w:asciiTheme="minorEastAsia" w:eastAsiaTheme="minorEastAsia" w:hAnsiTheme="minorEastAsia" w:cstheme="minorEastAsia" w:hint="eastAsia"/>
          <w:color w:val="auto"/>
        </w:rPr>
        <w:t>李雷,曹宇阳,李莹莹.新商科背景下国内理工类高校创新创业人才培养经验及对广西的启示[J].大众科技,2025,27(1):124-127+135.</w:t>
      </w:r>
    </w:p>
    <w:p w14:paraId="6C396B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ajorEastAsia" w:eastAsiaTheme="majorEastAsia" w:hAnsiTheme="majorEastAsia" w:cstheme="majorEastAsia" w:hint="eastAsia"/>
          <w:color w:val="auto"/>
          <w:sz w:val="21"/>
          <w:szCs w:val="21"/>
        </w:rPr>
        <w:t>[</w:t>
      </w:r>
      <w:r>
        <w:rPr>
          <w:rFonts w:asciiTheme="majorEastAsia" w:eastAsiaTheme="majorEastAsia" w:hAnsiTheme="majorEastAsia" w:cstheme="majorEastAsia" w:hint="eastAsia"/>
          <w:color w:val="auto"/>
          <w:sz w:val="21"/>
          <w:szCs w:val="21"/>
          <w:lang w:val="en-US" w:eastAsia="zh-CN"/>
        </w:rPr>
        <w:t>5</w:t>
      </w:r>
      <w:r>
        <w:rPr>
          <w:rFonts w:asciiTheme="majorEastAsia" w:eastAsiaTheme="majorEastAsia" w:hAnsiTheme="majorEastAsia" w:cstheme="majorEastAsia" w:hint="eastAsia"/>
          <w:color w:val="auto"/>
          <w:sz w:val="21"/>
          <w:szCs w:val="21"/>
        </w:rPr>
        <w:t>]</w:t>
      </w:r>
      <w:r>
        <w:rPr>
          <w:rFonts w:asciiTheme="minorEastAsia" w:eastAsiaTheme="minorEastAsia" w:hAnsiTheme="minorEastAsia" w:cstheme="minorEastAsia" w:hint="eastAsia"/>
          <w:color w:val="auto"/>
        </w:rPr>
        <w:t>刘嘉文.广西高校毕业生就业问题研究[J].公关世界,2025,(2):66-68.</w:t>
      </w:r>
    </w:p>
    <w:p w14:paraId="09B964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cstheme="majorEastAsia" w:hint="eastAsia"/>
          <w:color w:val="auto"/>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4530FA"/>
    <w:rsid w:val="039F0820"/>
    <w:rsid w:val="0621308C"/>
    <w:rsid w:val="06BF2DBC"/>
    <w:rsid w:val="079B2056"/>
    <w:rsid w:val="08B62A14"/>
    <w:rsid w:val="09D047C9"/>
    <w:rsid w:val="0B647CC9"/>
    <w:rsid w:val="0CF85F43"/>
    <w:rsid w:val="0D43209C"/>
    <w:rsid w:val="156F29B6"/>
    <w:rsid w:val="18A772BE"/>
    <w:rsid w:val="1B637FDE"/>
    <w:rsid w:val="1C2C33AF"/>
    <w:rsid w:val="1C4631FC"/>
    <w:rsid w:val="20C45D51"/>
    <w:rsid w:val="21FC0C8B"/>
    <w:rsid w:val="25D8418D"/>
    <w:rsid w:val="30032221"/>
    <w:rsid w:val="34727975"/>
    <w:rsid w:val="3CF268A8"/>
    <w:rsid w:val="488564A7"/>
    <w:rsid w:val="49E558FF"/>
    <w:rsid w:val="532C697D"/>
    <w:rsid w:val="5C884CC7"/>
    <w:rsid w:val="61CB22EF"/>
    <w:rsid w:val="62380B70"/>
    <w:rsid w:val="6470717E"/>
    <w:rsid w:val="74E05C5A"/>
    <w:rsid w:val="76506F8F"/>
    <w:rsid w:val="76AF6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6</Pages>
  <Words>5418</Words>
  <Characters>5694</Characters>
  <Application>Microsoft Office Word</Application>
  <DocSecurity>0</DocSecurity>
  <Lines>0</Lines>
  <Paragraphs>0</Paragraphs>
  <ScaleCrop>false</ScaleCrop>
  <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LZW</cp:lastModifiedBy>
  <cp:revision>0</cp:revision>
  <dcterms:created xsi:type="dcterms:W3CDTF">2026-07-15T01:40:00Z</dcterms:created>
  <dcterms:modified xsi:type="dcterms:W3CDTF">2026-10-27T04:31:14Z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834272E49B8B46A3B2D5880F3584D414_13</vt:lpwstr>
  </property>
  <property fmtid="{D5CDD505-2E9C-101B-9397-08002B2CF9AE}" pid="3" name="KSOProductBuildVer">
    <vt:lpwstr>2052-12.1.0.29158</vt:lpwstr>
  </property>
  <property fmtid="{D5CDD505-2E9C-101B-9397-08002B2CF9AE}" pid="4" name="KSOTemplateDocerSaveRecord">
    <vt:lpwstr>eyJoZGlkIjoiYjliNGU1MDU5OTVlZTMyNDI4OGIwY2FmMjJmODI2YmYiLCJ1c2VySWQiOiIzMTM0ODA4NDEifQ==</vt:lpwstr>
  </property>
</Properties>
</file>