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55D83A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ascii="宋体" w:eastAsia="宋体" w:hAnsi="宋体" w:cs="宋体" w:hint="eastAsia"/>
        </w:rPr>
      </w:pPr>
      <w:r>
        <w:rPr>
          <w:rFonts w:ascii="宋体" w:eastAsia="宋体" w:hAnsi="宋体" w:cs="宋体" w:hint="eastAsia"/>
        </w:rPr>
        <w:t>水利工程运行管理安全问题及治理路径</w:t>
      </w:r>
    </w:p>
    <w:p w14:paraId="696EF0A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摘要</w:t>
      </w:r>
      <w:r>
        <w:rPr>
          <w:rFonts w:ascii="宋体" w:eastAsia="宋体" w:hAnsi="宋体" w:cs="宋体" w:hint="eastAsia"/>
          <w:lang w:eastAsia="zh-CN"/>
        </w:rPr>
        <w:t>：</w:t>
      </w:r>
      <w:r>
        <w:rPr>
          <w:rFonts w:ascii="宋体" w:eastAsia="宋体" w:hAnsi="宋体" w:cs="宋体" w:hint="eastAsia"/>
        </w:rPr>
        <w:t>水利工程是防洪减灾、水资源调配的重要工程，经过长时间的使用，水利工程的本体、控制体系、监测手段、应急保障等各方面均存在着很多的安全缺陷。对水利工程运行阶段典型的水利工程安全隐患进行梳理，分析其形成的原因，并与水利</w:t>
      </w:r>
      <w:bookmarkStart w:id="0" w:name="_GoBack"/>
      <w:bookmarkEnd w:id="0"/>
      <w:r>
        <w:rPr>
          <w:rFonts w:ascii="宋体" w:eastAsia="宋体" w:hAnsi="宋体" w:cs="宋体" w:hint="eastAsia"/>
        </w:rPr>
        <w:t>安全生产管理要求对照，在本体维保、责任体系、智慧监测、应急管理四个方面给出系统的治理方案，为水利工程安全治理模式由“事后补救”向“事前预防”转变，保证水利工程长期稳定运行提供一定的借鉴意义。</w:t>
      </w:r>
    </w:p>
    <w:p w14:paraId="449E664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关键词</w:t>
      </w:r>
      <w:r>
        <w:rPr>
          <w:rFonts w:ascii="宋体" w:eastAsia="宋体" w:hAnsi="宋体" w:cs="宋体" w:hint="eastAsia"/>
          <w:lang w:eastAsia="zh-CN"/>
        </w:rPr>
        <w:t>：</w:t>
      </w:r>
      <w:r>
        <w:rPr>
          <w:rFonts w:ascii="宋体" w:eastAsia="宋体" w:hAnsi="宋体" w:cs="宋体" w:hint="eastAsia"/>
        </w:rPr>
        <w:t>水利工程；运行管理；安全风险；隐患治理；事前防控</w:t>
      </w:r>
    </w:p>
    <w:p w14:paraId="71E0CDE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引言：</w:t>
      </w:r>
      <w:r>
        <w:rPr>
          <w:rFonts w:ascii="宋体" w:eastAsia="宋体" w:hAnsi="宋体" w:cs="宋体" w:hint="eastAsia"/>
          <w:lang w:eastAsia="zh-CN"/>
        </w:rPr>
        <w:t>水</w:t>
      </w:r>
      <w:r>
        <w:rPr>
          <w:rFonts w:ascii="宋体" w:eastAsia="宋体" w:hAnsi="宋体" w:cs="宋体" w:hint="eastAsia"/>
        </w:rPr>
        <w:t>利高质量发展不断推进，很多已经建成的水库、堤防、水闸、灌区等水利工程处于常态化运行的状态，由于极端气候频繁出现以及工程老化速度加快，给水利工程的安全运行带来了持续的压力。水利部加快推进安全生产风险管控六项机制落地落实，明确要压实运行安全主体责任。中小型工程重建设轻管理的现象依然存在，安全风险辨识不到位，管控链条存在断点。立足行业现实，找出运行安全的难点所在，创建闭环的治理体系，这是保证水安全底线的现实要求。</w:t>
      </w:r>
    </w:p>
    <w:p w14:paraId="38DC927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一、水利工程运行管理现存安全问题</w:t>
      </w:r>
    </w:p>
    <w:p w14:paraId="373D046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1.工程本体老化失修，结构隐患潜藏多发</w:t>
      </w:r>
    </w:p>
    <w:p w14:paraId="5986B57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长期在水位往复涨落、雨水冲刷、冻融循环的作用下，水库坝体、堤防堤身、水闸底板等主体结构都会出现耐久性的衰减现象。大部分中小型水利工程的建成运行年限比较长，管护单位受限于资金情况只能对表面的缺陷进行修补，对地下渗流通道、内部空洞、防渗体破损等隐蔽病害很难发现。部分灌区涵管、渡槽构件存在混凝土碳化、钢筋锈蚀，病害发展速度较慢，常规巡查手段很难发现，隐患长期存在于工程内部，随时存在破坏结构稳定的情况。</w:t>
      </w:r>
    </w:p>
    <w:p w14:paraId="60C46C0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2.安全责任链条松弛，制度执行落地乏力</w:t>
      </w:r>
    </w:p>
    <w:p w14:paraId="5663183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水利工程运行单位虽然按照监管的要求编制了安全管理制度文本，但是岗位权责的划分没有根据工程的实际工况进行具体的落实。安全管理任务主要由少数专职管理人员承担，巡查值守、隐患上报、整改复查等各个岗位没有层层传递到一线的养护人员。班组日常巡检出现简化流程、补填记录的情况，隐患台账登记、销号工作只是停留在表面，没有把制度条款落实到日常的管控动作中。</w:t>
      </w:r>
    </w:p>
    <w:p w14:paraId="3D95741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3.监测感知体系滞后，风险研判预判不足</w:t>
      </w:r>
    </w:p>
    <w:p w14:paraId="752C7E5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大部分基层水利工程仍然把人工徒步巡检作为主要的排查手段，自动化监测设备的布设很少。关键的安全性指标依靠现场人员定时对数据进行读取，数据采集周期长、连续性差，不能及时感知水位迅速上升、结构变形等变化的过程。目前的监测数据散布在各个台账当中，管护人员缺少标准的分析手段，只能依靠自己的直觉判断风险等级，定量判断的能力比较欠缺。</w:t>
      </w:r>
    </w:p>
    <w:p w14:paraId="3740AD7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4.应急处置储备薄弱，险情响应效能偏低</w:t>
      </w:r>
    </w:p>
    <w:p w14:paraId="35C2F9D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水利工程管理单位所编制的应急预案大多采用通用模板，预案内容没有针对本工程坝型、流域汇水区的特性及下游受保护对象的特点做出情景化的设置。管护队伍常态化的险情演练次数太少，人员对于渗流、滑坡、闸室漫溢等常见险情的处置步骤掌握不熟练。砂石、土工膜、抽排设备等抢险物资存放地点分散，物资的定期检查和保养更新制度执行不到位，部分设备长期闲置，险情发生时不能及时投入工作。</w:t>
      </w:r>
    </w:p>
    <w:p w14:paraId="35CF9B7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二、水利工程运行管理安全治理路径</w:t>
      </w:r>
    </w:p>
    <w:p w14:paraId="64476F3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1.抓实工程除险维保，夯实实体安全根基</w:t>
      </w:r>
    </w:p>
    <w:p w14:paraId="292DB44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管护单位应该建立分部位、分等级的工程常规维护体系，按照安全鉴定的结果确定结构管护的重点区域，把除险加固工作当作日常运行的一部分而不是在出现险情之后才进行集中处理。管理方先对坝体防渗系统、堤身排水设施、水闸止水结构、跨渠涵槽受力构件等进行周期性的专项检查，利用地质雷达、钻孔检测等方式对坝体内部隐蔽病害进行探测，发现渗流通道、土体空洞等不易直接观察到的病害。对发现的缺陷建立维修项目清单，以应急为主，安全施工过程同维修工作同步推进，保证维修工作不破坏原结构。管护队伍也要建立工程外观巡查表，对护坡、排水沟、启闭机房附属构件进行日常养护工作，定时清除淤泥杂物，及时更换损坏的配件，减缓材料的劣化速度。单位应该把工程健康档案的动态更新当作一项基本工作来对待，把历次检测的数据、维修记录、水位荷载情况统一归档，建立结构状态的连续记录，保证后续安全鉴定、除险方案编制有据可依，保证主体结构的稳定性，在工程本源上降低结构失效的风险。</w:t>
      </w:r>
    </w:p>
    <w:p w14:paraId="19DCB8A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2.健全层级责任体系，压实岗位管控职责</w:t>
      </w:r>
    </w:p>
    <w:p w14:paraId="77B35EC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水利工程运行主体必须以安全生产法和水利行业运行规程为依据，重新构建分层分级的安全责任体系，不能让安全工作只由安全管理人员一个人来承担。单位把工程巡查、设备维护、隐患上报、整改复核等工作分成具体的岗位工作事项，并且确定各个负责人、管护员、值班人员所对应的岗位安全职责，建立起一条从主要负责人到一线巡护人员的安全责任传递链。运行单位配套制定与岗位职责相适应的考核标准，把隐患排查质量、台账真实性、整改闭环结果作为日常绩效考核的主要内容，使制度与现场管控相脱离的状况得到改善。单位组织岗位安全交底培训，以本工程以往出现过的典型隐患案例为教学内容，使一线员工对本岗位的风险点有清楚的认识，了解上报程序。对不同地区的水利监管机构进行差别化的监督方式的改进，提高小型工程随机抽查比例，对责任悬空、整改拖延的项目采取约谈、问责的处理。落实情况与工程运维经费的拨付情况互相牵制，促使所有的安全管理制度由纸面变成常态化管理行动，构建起一个权责分明、可追溯、可考核的安全管理环境。</w:t>
      </w:r>
    </w:p>
    <w:p w14:paraId="4B29243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3.搭建智慧监测平台，实现风险早识早警</w:t>
      </w:r>
    </w:p>
    <w:p w14:paraId="065F8B8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运行管理单位利用现有的工程条件分阶段布设自动化感知终端，在大坝渗流断面、堤身关键变形段、水闸基础位置等处设置渗压计、位移传感器、裂缝监测装置，保证人工监测缺少的数据。采集到的监测数据全部被工程智慧管控平台所接收，平台有行业规范的阈值，如果监测指标超过合理范围，系统就会立即发出不同级别的预警信息到值班人员的手机上，使异常发现时间大大缩短。管护人员对平台数据时序曲线进行对比分析之后可以定量的对结构变化趋势做出分析，不再只是凭借个人的经验来判定风险。平台打通监测台账、巡查记录、安全鉴定资料数据接口，对各种各样的信息进行汇总，给工程健康状况的综合评定提供支持。单位对监测设备的运行维护制度进行完善，定时对传感器、通信线路进行校准检修，保证监测终端的稳定运行。平台功能预留扩展接口以后，可以将雨情、水情预报数据引入平台，开展水文驱动的风险预估工作，使安全管理模式从被动的应对转变为事前的预防，不断加强风险的识别能力以及反应速度。</w:t>
      </w:r>
    </w:p>
    <w:p w14:paraId="49DA5DC2"/>
    <w:sectPr>
      <w:pgSz w:w="11906" w:h="16838"/>
      <w:pgMar w:top="1440" w:right="1800" w:bottom="1440" w:left="1800" w:header="851" w:footer="992" w:gutter="0"/>
      <w:cols w:num="1" w:space="0"/>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embedSystemFonts/>
  <w:bordersDoNotSurroundHeader/>
  <w:bordersDoNotSurroundFooter/>
  <w:defaultTabStop w:val="420"/>
  <w:drawingGridVerticalSpacing w:val="156"/>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7A2BB7"/>
    <w:rsid w:val="2F7A2BB7"/>
    <w:rsid w:val="6E131BB7"/>
    <w:rsid w:val="7C1826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2026-10-27T02:51:00Z</dcterms:created>
  <dcterms:modified xsi:type="dcterms:W3CDTF">2026-10-27T02:52:06Z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A93E8788C05E46618507FB4803BA914E_11</vt:lpwstr>
  </property>
  <property fmtid="{D5CDD505-2E9C-101B-9397-08002B2CF9AE}" pid="3" name="KSOProductBuildVer">
    <vt:lpwstr>2052-12.1.0.29161</vt:lpwstr>
  </property>
  <property fmtid="{D5CDD505-2E9C-101B-9397-08002B2CF9AE}" pid="4" name="KSOTemplateDocerSaveRecord">
    <vt:lpwstr>eyJoZGlkIjoiNWQwNGEzY2MyNzA1ZjhhZGM4YjVjMjVlMTVmZWRkMTMiLCJ1c2VySWQiOiI1ODIxNTk5MDgifQ==</vt:lpwstr>
  </property>
</Properties>
</file>