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EED2E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摘要：</w:t>
      </w:r>
      <w:r>
        <w:rPr>
          <w:rFonts w:hint="eastAsia"/>
        </w:rPr>
        <w:t>作为能源保供的主力军，电厂国有企业经济责任审计属于对领导干部履职情况进行监督、规范资金资产运作、防范经营风险的有效手段</w:t>
      </w:r>
      <w:bookmarkStart w:id="0" w:name="_GoBack"/>
      <w:bookmarkEnd w:id="0"/>
      <w:r>
        <w:rPr>
          <w:rFonts w:hint="eastAsia"/>
        </w:rPr>
        <w:t>。本文以电厂行业的生产、基建、燃料采购等业务场景为立足点，在经济责任审计结果运用中发现的现实问题的基础上提出可行的优化路径，使审计结论真正成为治理的资源，推动电厂国企内控体系的健全、领导干部经济责任的落实，使审计监督与企业经营管理工作深度融合。</w:t>
      </w:r>
    </w:p>
    <w:p w14:paraId="12AC52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关键词：电厂国企；经济责任审计；审计结果运用</w:t>
      </w:r>
    </w:p>
    <w:p w14:paraId="17422E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引言，</w:t>
      </w:r>
      <w:r>
        <w:rPr>
          <w:rFonts w:hint="eastAsia"/>
          <w:lang w:eastAsia="zh-CN"/>
        </w:rPr>
        <w:t>在</w:t>
      </w:r>
      <w:r>
        <w:rPr>
          <w:rFonts w:hint="eastAsia"/>
        </w:rPr>
        <w:t>“双碳”战略持续深入推进、电力市场化改革不断推进的大环境下，电厂国企要完成稳定能源供应、严控投资成本、保证国有资产保值增值等多重任务。经济责任审计针对经济负责人的任职期间经济决策、资金运用、项目实施、廉洁从业等履职情况展开，是企业内部治理结构中的重要一环。</w:t>
      </w:r>
    </w:p>
    <w:p w14:paraId="1B610C4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一、电厂国企经济责任审计结果运用现存问题</w:t>
      </w:r>
    </w:p>
    <w:p w14:paraId="35973C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（一）审计整改闭环管理存在漏洞，同类问题屡查屡犯</w:t>
      </w:r>
    </w:p>
    <w:p w14:paraId="6C1153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审计整改是审计结果落地的第一步，大多数电厂国有企业没有形成完整的、贯穿整改全过程的跟踪控制模式。审计组将审计报告送交被审计单位之后，没有专人对整改进度进行持续追踪，也没有对整改资料的真实性进行有效的审核。电厂基建工程变更签证审核不到位、燃煤入库计量控制失当、备品备件积压等频发问题，不同的任期审计里也会出现</w:t>
      </w:r>
      <w:r>
        <w:rPr>
          <w:rFonts w:hint="eastAsia"/>
          <w:vertAlign w:val="superscript"/>
          <w:lang w:val="en-US" w:eastAsia="zh-CN"/>
        </w:rPr>
        <w:t>[1]</w:t>
      </w:r>
      <w:r>
        <w:rPr>
          <w:rFonts w:hint="eastAsia"/>
        </w:rPr>
        <w:t>。被审计责任人存在阶段性的应付整改心态，大都用书面报告代替实际制度的完善，只纠正表面现象，没有对管理缺陷背后的流程缺陷有深入的挖掘。</w:t>
      </w:r>
    </w:p>
    <w:p w14:paraId="4B5313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（二）审计结果联动考核机制不健全，干部评价参考权重偏低</w:t>
      </w:r>
    </w:p>
    <w:p w14:paraId="2BBFDC8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部分电厂国企对于经济责任审计结果并没有深入地嵌入到干部的考核、任用以及绩效评价体系当中。组织人事部门在干部考察过程中更多地会看年度述职报告和民主测评表，审计结果只起到辅助的作用，没有设定具体的量化标准。有的领导干部任职期间投资决策有失谨慎，成本控制失之毫厘，审计报告中没有在绩效扣分、岗位变动等环节留下痕迹。审计报告内容繁杂且专业，没有人事部门精简的评价表，信息传递有障碍。</w:t>
      </w:r>
    </w:p>
    <w:p w14:paraId="2430B5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（三）审计成果共享转化渠道较为单一，治理价值挖掘不足</w:t>
      </w:r>
    </w:p>
    <w:p w14:paraId="7F3C373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电厂国企审计部门普遍存在着成果应用思维缺乏的现象，在审计报告完成后一般就归档保存，没有建立跨部门成果流转机制。审计工作独立进行，燃料、财务、工程、风控等业务部门不能及时将审计中发现的共性风险点共享给其它部门，各个条线只能依靠自身的经验排查隐患。经济责任审计所形成起来的工程招标，资金支付，外包服务管理这些数据资源并没有整理成案例库的形式，不能够给经常性的内部控制培训以及提前的风险预警提供支持。</w:t>
      </w:r>
    </w:p>
    <w:p w14:paraId="270AEF0A"/>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BA74B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2026-10-27T02:15:46Z</dcterms:created>
  <dcterms:modified xsi:type="dcterms:W3CDTF">2026-10-27T02:15:53Z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18163A2EEC5349B3ADBEC25018955764_12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