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0D3144B">
      <w:pPr>
        <w:widowControl/>
        <w:spacing w:line="360" w:lineRule="auto"/>
        <w:ind w:firstLine="486" w:firstLineChars="270"/>
        <w:jc w:val="left"/>
        <w:rPr>
          <w:rFonts w:ascii="Times New Roman" w:hAnsi="Times New Roman" w:cs="Times New Roman"/>
          <w:kern w:val="0"/>
          <w:sz w:val="17"/>
          <w:szCs w:val="17"/>
        </w:rPr>
      </w:pPr>
      <w:r>
        <w:rPr>
          <w:rFonts w:ascii="Times New Roman" w:hAnsi="Times New Roman" w:cs="Times New Roman" w:hint="eastAsia"/>
          <w:sz w:val="18"/>
        </w:rPr>
        <w:t>针对传统施工中物资设备管理粗放、浪费严重、能耗偏高等问题，以绿色施工理念为指引，针对物资采购、仓储周转、现场使用、设备运维四个环节中存在的问题及原因进行分析，从绿色采购、精细化仓储与限额领料、设备全生命周期管理、信息化和考核激励四个方面提出管理措施，形成物资管理闭环。经工程验证可知，主要材料综合损耗率从原来的3.8%降到现在的2.1%，设备单位产值能耗降低14.6%，周转材料利用率提高18.5个百分点，建筑垃圾排放强度下降了31.0%，经济效益和环境效益明显提高，可以为类似工程提供一定的借鉴。</w:t>
      </w:r>
    </w:p>
    <w:p w14:paraId="64835F48"/>
    <w:p w14:paraId="5ABA4A63"/>
    <w:p w14:paraId="05C5DA7C">
      <w:pPr>
        <w:spacing w:line="360" w:lineRule="auto"/>
        <w:rPr>
          <w:rFonts w:ascii="Times New Roman" w:hAnsi="Times New Roman" w:eastAsiaTheme="minorEastAsia" w:cs="Times New Roman" w:hint="eastAsia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>1 引言</w:t>
      </w:r>
    </w:p>
    <w:p w14:paraId="28E8D7B1">
      <w:pPr>
        <w:spacing w:line="360" w:lineRule="auto"/>
        <w:ind w:firstLine="420" w:firstLineChars="20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随着“双碳”目标不断推进，建筑行业是资源消耗、碳排放的大户，也是从粗放式发展向绿色化、集约化转变的行业。建筑工程绿色施工规范对施工企业有明确的规定，在保证施工质量、施工安全的同时，用科学管理、技术革新最大限度地节约资源，减少对环境的污染</w:t>
      </w:r>
      <w:r>
        <w:rPr>
          <w:rFonts w:ascii="Times New Roman" w:hAnsi="Times New Roman" w:cs="Times New Roman" w:hint="eastAsia"/>
          <w:vertAlign w:val="superscript"/>
        </w:rPr>
        <w:t>[1]</w:t>
      </w:r>
      <w:r>
        <w:rPr>
          <w:rFonts w:ascii="Times New Roman" w:hAnsi="Times New Roman" w:cs="Times New Roman" w:hint="eastAsia"/>
        </w:rPr>
        <w:t>。</w:t>
      </w:r>
    </w:p>
    <w:p w14:paraId="04932923">
      <w:pPr>
        <w:spacing w:line="360" w:lineRule="auto"/>
        <w:ind w:firstLine="420" w:firstLineChars="20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目前有关绿色施工评价、节材与材料利用、设备节能等各方面研究及标准体系已经比较成熟[1-4]，但是大多数的研究都是针对单个环节或者单项技术，缺少将采购、仓储、使用、回收和设备运维贯通起来的综合性的管理方法。工程实践中由于计划不周、采购重价格轻环保、现场堆放无序、设备闲置和低效运转的现象还比较普遍。</w:t>
      </w:r>
    </w:p>
    <w:p w14:paraId="726C1E5A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因此，在对物资设备管理现状以及原因进行分析的基础上，从绿色施工的角度出发，建立覆盖全过程的闭环管理策略，通过工程的应用效果来检验。</w:t>
      </w:r>
    </w:p>
    <w:p w14:paraId="6DCCFCD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hAnsi="Times New Roman" w:cs="Times New Roman" w:hint="eastAsia"/>
          <w:b/>
          <w:sz w:val="24"/>
          <w:szCs w:val="24"/>
        </w:rPr>
        <w:t>研究方法</w:t>
      </w:r>
    </w:p>
    <w:p w14:paraId="301011CB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本研究分为三个步骤，第一部分通过检索文献整理GB/T 50905、GB/T 50640、GB/T 24001、GB/T 23331等标准中有关节材、节能、环保的要求；第二部分对多个公路、市政、轨道交通项目的需求采购、仓储周转、现场使用、设备运维四个环节进行分析；第三部分对某轨道交通土建工程进行对策实施，比较前后六个月损耗率、重复利用率、能耗等指标的变化，验证措施的效果。</w:t>
      </w:r>
    </w:p>
    <w:p w14:paraId="789DD3B1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 w:hint="eastAsia"/>
          <w:b/>
          <w:sz w:val="24"/>
          <w:szCs w:val="24"/>
        </w:rPr>
        <w:t>物资设备管理现状及问题分析</w:t>
      </w:r>
    </w:p>
    <w:p w14:paraId="6CFF37F2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3.1 主要问题</w:t>
      </w:r>
    </w:p>
    <w:p w14:paraId="750381DE">
      <w:pPr>
        <w:spacing w:line="360" w:lineRule="auto"/>
        <w:ind w:firstLine="420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</w:rPr>
        <w:t>通过对多个正在建设的公路、市政和轨道交通项目进行调查发现，在物资设备管理当中，与绿色施工目标相悖的主要问题出现在采购、仓储、使用、设备维护这四个方面，具体见表1。</w:t>
      </w:r>
    </w:p>
    <w:p w14:paraId="3BF6A620">
      <w:pPr>
        <w:spacing w:before="120" w:after="60" w:line="360" w:lineRule="auto"/>
        <w:jc w:val="center"/>
      </w:pPr>
      <w:r>
        <w:rPr>
          <w:rFonts w:ascii="Times New Roman" w:eastAsia="宋体" w:hAnsi="Times New Roman"/>
          <w:b w:val="0"/>
          <w:color w:val="000000"/>
          <w:sz w:val="18"/>
        </w:rPr>
        <w:t>表1  物资设备管理主要问题及成因</w:t>
      </w:r>
    </w:p>
    <w:tbl>
      <w:tblPr>
        <w:tblStyle w:val="TableNormal"/>
        <w:tblW w:w="0" w:type="auto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931"/>
        <w:gridCol w:w="1638"/>
      </w:tblGrid>
      <w:tr w14:paraId="549DC360">
        <w:tblPrEx>
          <w:tblW w:w="0" w:type="auto"/>
          <w:jc w:val="center"/>
          <w:tblBorders>
            <w:top w:val="single" w:sz="12" w:space="0" w:color="000000"/>
            <w:left w:val="none" w:sz="0" w:space="0" w:color="auto"/>
            <w:bottom w:val="single" w:sz="12" w:space="0" w:color="000000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14" w:type="dxa"/>
            <w:tcBorders>
              <w:bottom w:val="single" w:sz="4" w:space="0" w:color="000000"/>
            </w:tcBorders>
            <w:vAlign w:val="center"/>
          </w:tcPr>
          <w:p w14:paraId="18CC23A8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管理环节</w:t>
            </w:r>
          </w:p>
        </w:tc>
        <w:tc>
          <w:tcPr>
            <w:tcW w:w="1931" w:type="dxa"/>
            <w:tcBorders>
              <w:bottom w:val="single" w:sz="4" w:space="0" w:color="000000"/>
            </w:tcBorders>
            <w:vAlign w:val="center"/>
          </w:tcPr>
          <w:p w14:paraId="0F9D773D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主要问题</w:t>
            </w:r>
          </w:p>
        </w:tc>
        <w:tc>
          <w:tcPr>
            <w:tcW w:w="1638" w:type="dxa"/>
            <w:tcBorders>
              <w:bottom w:val="single" w:sz="4" w:space="0" w:color="000000"/>
            </w:tcBorders>
            <w:vAlign w:val="center"/>
          </w:tcPr>
          <w:p w14:paraId="1A56EB22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主要成因</w:t>
            </w:r>
          </w:p>
        </w:tc>
      </w:tr>
      <w:tr w14:paraId="36486C81"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4" w:type="dxa"/>
            <w:vAlign w:val="center"/>
          </w:tcPr>
          <w:p w14:paraId="663C7D02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需求与采购</w:t>
            </w:r>
          </w:p>
        </w:tc>
        <w:tc>
          <w:tcPr>
            <w:tcW w:w="1931" w:type="dxa"/>
            <w:vAlign w:val="center"/>
          </w:tcPr>
          <w:p w14:paraId="22533C36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需求计划与施工进度脱节，材料超量采购；供应商选择以低价为主，缺少环保指标</w:t>
            </w:r>
          </w:p>
        </w:tc>
        <w:tc>
          <w:tcPr>
            <w:tcW w:w="1638" w:type="dxa"/>
            <w:vAlign w:val="center"/>
          </w:tcPr>
          <w:p w14:paraId="7FE1F376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计划编制依赖经验，缺少BIM算量支持；采购评价体系未纳入绿色指标</w:t>
            </w:r>
          </w:p>
        </w:tc>
      </w:tr>
      <w:tr w14:paraId="0B23A31C"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4" w:type="dxa"/>
            <w:vAlign w:val="center"/>
          </w:tcPr>
          <w:p w14:paraId="423B3CDA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仓储与周转</w:t>
            </w:r>
          </w:p>
        </w:tc>
        <w:tc>
          <w:tcPr>
            <w:tcW w:w="1931" w:type="dxa"/>
            <w:vAlign w:val="center"/>
          </w:tcPr>
          <w:p w14:paraId="2BE26806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露天堆放、防护不足造成锈蚀、受潮、变质；库存积压与临时断供并存</w:t>
            </w:r>
          </w:p>
        </w:tc>
        <w:tc>
          <w:tcPr>
            <w:tcW w:w="1638" w:type="dxa"/>
            <w:vAlign w:val="center"/>
          </w:tcPr>
          <w:p w14:paraId="3F815C0C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场地规划不合理；库存信息不透明，缺少安全库存与周转控制</w:t>
            </w:r>
          </w:p>
        </w:tc>
      </w:tr>
      <w:tr w14:paraId="5530E179"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4" w:type="dxa"/>
            <w:vAlign w:val="center"/>
          </w:tcPr>
          <w:p w14:paraId="1F26FE1D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现场使用</w:t>
            </w:r>
          </w:p>
        </w:tc>
        <w:tc>
          <w:tcPr>
            <w:tcW w:w="1931" w:type="dxa"/>
            <w:vAlign w:val="center"/>
          </w:tcPr>
          <w:p w14:paraId="5CFC84D2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切割下料不合理，边角料浪费；领用无限额，余料随意丢弃，废弃物混合堆放</w:t>
            </w:r>
          </w:p>
        </w:tc>
        <w:tc>
          <w:tcPr>
            <w:tcW w:w="1638" w:type="dxa"/>
            <w:vAlign w:val="center"/>
          </w:tcPr>
          <w:p w14:paraId="26826266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缺少限额领料制度；班组节材意识不强，分类回收设施不足</w:t>
            </w:r>
          </w:p>
        </w:tc>
      </w:tr>
      <w:tr w14:paraId="42F371B6"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4" w:type="dxa"/>
            <w:vAlign w:val="center"/>
          </w:tcPr>
          <w:p w14:paraId="243F17E8">
            <w:pPr>
              <w:spacing w:before="20" w:after="20" w:line="240" w:lineRule="auto"/>
              <w:ind w:left="0" w:firstLine="0"/>
              <w:jc w:val="center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设备运维</w:t>
            </w:r>
          </w:p>
        </w:tc>
        <w:tc>
          <w:tcPr>
            <w:tcW w:w="1931" w:type="dxa"/>
            <w:vAlign w:val="center"/>
          </w:tcPr>
          <w:p w14:paraId="7C2C01C1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设备选型偏大，空转与待机时间长；维保不及时，故障率和油耗偏高</w:t>
            </w:r>
          </w:p>
        </w:tc>
        <w:tc>
          <w:tcPr>
            <w:tcW w:w="1638" w:type="dxa"/>
            <w:vAlign w:val="center"/>
          </w:tcPr>
          <w:p w14:paraId="696D2431">
            <w:pPr>
              <w:spacing w:before="20" w:after="20" w:line="240" w:lineRule="auto"/>
              <w:ind w:left="0" w:firstLine="0"/>
              <w:jc w:val="left"/>
            </w:pPr>
            <w:r>
              <w:rPr>
                <w:rFonts w:ascii="Times New Roman" w:eastAsia="宋体" w:hAnsi="Times New Roman"/>
                <w:b w:val="0"/>
                <w:color w:val="000000"/>
                <w:sz w:val="18"/>
              </w:rPr>
              <w:t>设备台账不完整；缺少能耗监测与考核，淘汰高耗能设备动力不足</w:t>
            </w:r>
          </w:p>
        </w:tc>
      </w:tr>
    </w:tbl>
    <w:p w14:paraId="387BFD80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3.2 成因分析</w:t>
      </w:r>
    </w:p>
    <w:p w14:paraId="002DA837">
      <w:pPr>
        <w:spacing w:line="360" w:lineRule="auto"/>
        <w:ind w:firstLine="420" w:firstLineChars="20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从上面的分析中可以得出上述问题产生的原因有三个。第一是管理理念落后，只把“保工期、控成本”作为唯一的管理目的，把物资设备看作一次性消耗品，没有把资源节约和环境影响纳入到管理的目标中去；第二是管理链条断裂，计划、采购、仓储、使用、回收属于不同的部门，信息不能共享，不能形成数据闭环；第三是缺少技术以及激励手段，缺少信息化的工具以及可以量化考核的指标，不能将节约成果同责任主体的绩效相联系，造成绿色措施“有要求，难落实”。</w:t>
      </w:r>
    </w:p>
    <w:p w14:paraId="1AF8F14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val="en-US" w:eastAsia="zh-CN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绿色施工理念下的管理对策</w:t>
      </w:r>
    </w:p>
    <w:p w14:paraId="4498DEBE">
      <w:pPr>
        <w:spacing w:line="360" w:lineRule="auto"/>
        <w:rPr>
          <w:rFonts w:ascii="Times New Roman" w:hAnsi="Times New Roman" w:cs="Times New Roman" w:hint="eastAsia"/>
          <w:b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>4.1 总体思路</w:t>
      </w:r>
    </w:p>
    <w:p w14:paraId="5E53DB11">
      <w:pPr>
        <w:spacing w:line="360" w:lineRule="auto"/>
        <w:ind w:firstLine="420" w:firstLineChars="200"/>
      </w:pPr>
      <w:r>
        <w:rPr>
          <w:rFonts w:ascii="Times New Roman" w:hAnsi="Times New Roman" w:cs="Times New Roman" w:hint="eastAsia"/>
        </w:rPr>
        <w:t>根据以上问题，按照“源头减量、过程控制、循环利用、持续改进”的原则建立物资闭环管理体系，即从物资需求计划、绿色采购、仓储验收、限额领料、现场使用到回收再利用的整个物资闭环管理链条，对设备从选型、运行、维保到退场全过程进行管理，用绿色标准和制度、信息化平台、考核激励来保证。回收产生的废弃物以及损耗数据回传到需求计划中，用以修正下一个周期的用量定额，达到持续改善的目的。</w:t>
      </w:r>
    </w:p>
    <w:p w14:paraId="16650ABF"/>
    <w:p w14:paraId="057D8C5B">
      <w:pPr>
        <w:pBdr>
          <w:bottom w:val="dotted" w:sz="24" w:space="0" w:color="auto"/>
        </w:pBdr>
      </w:pPr>
    </w:p>
    <w:p w14:paraId="37CE7972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从经济性来说，材料损耗降低、库存资金占用减少、设备油耗下降造成的直接节约远大于信息平台建设、监测设备、奖励基金等的投入；就环境效益而言，由于废弃物减量、设备节能的共同作用，项目绿色施工示范工程中期评价顺利通过。</w:t>
      </w:r>
    </w:p>
    <w:p w14:paraId="4BAE5B2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结论</w:t>
      </w:r>
    </w:p>
    <w:p w14:paraId="357E0619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从安全性、适用性来说，所提闭环管理对策以现行规范和体系为基础，在施工条件可以满足的情况下可以实施，并且不会对已有的质量及安全管理的要求造成影响，适合用于公路、市政、轨道交通等各种土建工程的施工。从经济性、先进性的角度来</w:t>
      </w:r>
      <w:bookmarkStart w:id="0" w:name="_GoBack"/>
      <w:bookmarkEnd w:id="0"/>
      <w:r>
        <w:rPr>
          <w:rFonts w:ascii="Times New Roman" w:hAnsi="Times New Roman" w:cs="Times New Roman" w:hint="eastAsia"/>
        </w:rPr>
        <w:t>看，利用绿色采购、限额领料、设备全生命周期管理以及信息化考核四者间的共同效应，达到资源节约和成本控制的目的；把物资全过程管理同设备全寿命管理贯通起来，依靠数据反馈不断对定额进行修正，比单点节约措施更具有系统性。下一步就是将管理平台同BIM、物联网、碳排放核算模型深度集成起来，开展物资设备碳排放实测工作，研究各种工程类型材料损耗和能耗的基准值，完善绿色考核指标体系，探寻与供应商、再生资源企业之间协同运作的方法，提升建筑废弃物资源化利用比例</w:t>
      </w:r>
      <w:r>
        <w:rPr>
          <w:rFonts w:ascii="Times New Roman" w:hAnsi="Times New Roman" w:cs="Times New Roman"/>
        </w:rPr>
        <w:t>。</w:t>
      </w:r>
    </w:p>
    <w:p w14:paraId="7C2ECC15">
      <w:pPr>
        <w:spacing w:line="360" w:lineRule="auto"/>
        <w:ind w:firstLine="420" w:firstLineChars="200"/>
        <w:rPr>
          <w:rFonts w:ascii="Times New Roman" w:hAnsi="Times New Roman" w:cs="Times New Roman"/>
        </w:rPr>
      </w:pPr>
    </w:p>
    <w:p w14:paraId="5C3F19FC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31A0710"/>
    <w:rsid w:val="39D03AA1"/>
    <w:rsid w:val="433647FD"/>
    <w:rsid w:val="68537B32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978</Characters>
  <Application>Microsoft Office Word</Application>
  <DocSecurity>0</DocSecurity>
  <Lines>0</Lines>
  <Paragraphs>0</Paragraphs>
  <ScaleCrop>false</ScaleCrop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2026-10-26T18:50:11Z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