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97429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8"/>
          <w:szCs w:val="36"/>
        </w:rPr>
      </w:pPr>
      <w:bookmarkStart w:id="0" w:name="_GoBack"/>
      <w:bookmarkEnd w:id="0"/>
      <w:r>
        <w:rPr>
          <w:rFonts w:hint="eastAsia"/>
          <w:b/>
          <w:bCs/>
          <w:sz w:val="28"/>
          <w:szCs w:val="36"/>
          <w:lang w:val="en-US" w:eastAsia="zh-CN"/>
        </w:rPr>
        <w:t>三维融合破解“两张皮”：</w:t>
      </w:r>
      <w:r>
        <w:rPr>
          <w:rFonts w:hint="eastAsia"/>
          <w:b/>
          <w:bCs/>
          <w:sz w:val="28"/>
          <w:szCs w:val="36"/>
        </w:rPr>
        <w:t>地域文化赋能</w:t>
      </w:r>
      <w:r>
        <w:rPr>
          <w:rFonts w:hint="eastAsia"/>
          <w:b/>
          <w:bCs/>
          <w:sz w:val="28"/>
          <w:szCs w:val="36"/>
          <w:lang w:val="en-US" w:eastAsia="zh-CN"/>
        </w:rPr>
        <w:t>高校文化自信培育</w:t>
      </w:r>
      <w:r>
        <w:rPr>
          <w:rFonts w:hint="eastAsia"/>
          <w:b/>
          <w:bCs/>
          <w:sz w:val="28"/>
          <w:szCs w:val="36"/>
        </w:rPr>
        <w:t>路径探析</w:t>
      </w:r>
    </w:p>
    <w:p w14:paraId="37C36A1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b/>
          <w:bCs/>
          <w:sz w:val="28"/>
          <w:szCs w:val="36"/>
        </w:rPr>
      </w:pPr>
      <w:r>
        <w:rPr>
          <w:rFonts w:hint="eastAsia"/>
          <w:b/>
          <w:bCs/>
          <w:sz w:val="28"/>
          <w:szCs w:val="36"/>
        </w:rPr>
        <w:t>——以邯郸为例</w:t>
      </w:r>
    </w:p>
    <w:p w14:paraId="33A11C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b w:val="0"/>
          <w:bCs w:val="0"/>
          <w:sz w:val="21"/>
          <w:szCs w:val="24"/>
          <w:vertAlign w:val="superscript"/>
          <w:lang w:eastAsia="zh-CN"/>
        </w:rPr>
      </w:pPr>
      <w:r>
        <w:rPr>
          <w:rFonts w:hint="eastAsia"/>
          <w:b w:val="0"/>
          <w:bCs w:val="0"/>
          <w:sz w:val="21"/>
          <w:szCs w:val="24"/>
          <w:lang w:eastAsia="zh-CN"/>
        </w:rPr>
        <w:t xml:space="preserve"> 郭丹</w:t>
      </w:r>
      <w:r>
        <w:rPr>
          <w:rFonts w:hint="eastAsia"/>
          <w:b w:val="0"/>
          <w:bCs w:val="0"/>
          <w:sz w:val="21"/>
          <w:szCs w:val="24"/>
          <w:vertAlign w:val="superscript"/>
          <w:lang w:val="en-US" w:eastAsia="zh-CN"/>
        </w:rPr>
        <w:t xml:space="preserve">1 </w:t>
      </w:r>
      <w:r>
        <w:rPr>
          <w:rFonts w:hint="eastAsia"/>
          <w:b w:val="0"/>
          <w:bCs w:val="0"/>
          <w:sz w:val="21"/>
          <w:szCs w:val="24"/>
          <w:lang w:eastAsia="zh-CN"/>
        </w:rPr>
        <w:t>贾晓朋</w:t>
      </w:r>
      <w:r>
        <w:rPr>
          <w:rFonts w:hint="eastAsia"/>
          <w:b w:val="0"/>
          <w:bCs w:val="0"/>
          <w:sz w:val="21"/>
          <w:szCs w:val="24"/>
          <w:vertAlign w:val="superscript"/>
          <w:lang w:val="en-US" w:eastAsia="zh-CN"/>
        </w:rPr>
        <w:t>2</w:t>
      </w:r>
    </w:p>
    <w:p w14:paraId="42675C9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b w:val="0"/>
          <w:bCs w:val="0"/>
          <w:sz w:val="21"/>
          <w:szCs w:val="24"/>
          <w:lang w:eastAsia="zh-CN"/>
        </w:rPr>
      </w:pPr>
      <w:r>
        <w:rPr>
          <w:rFonts w:hint="eastAsia"/>
          <w:b w:val="0"/>
          <w:bCs w:val="0"/>
          <w:sz w:val="21"/>
          <w:szCs w:val="24"/>
          <w:lang w:val="en-US" w:eastAsia="zh-CN"/>
        </w:rPr>
        <w:t>1.</w:t>
      </w:r>
      <w:r>
        <w:rPr>
          <w:rFonts w:hint="eastAsia"/>
          <w:b w:val="0"/>
          <w:bCs w:val="0"/>
          <w:sz w:val="21"/>
          <w:szCs w:val="24"/>
          <w:lang w:eastAsia="zh-CN"/>
        </w:rPr>
        <w:t>河北工程大学</w:t>
      </w:r>
      <w:r>
        <w:rPr>
          <w:rFonts w:hint="eastAsia"/>
          <w:b w:val="0"/>
          <w:bCs w:val="0"/>
          <w:sz w:val="21"/>
          <w:szCs w:val="24"/>
          <w:lang w:val="en-US" w:eastAsia="zh-CN"/>
        </w:rPr>
        <w:t xml:space="preserve"> </w:t>
      </w:r>
      <w:r>
        <w:rPr>
          <w:rFonts w:hint="eastAsia"/>
          <w:b w:val="0"/>
          <w:bCs w:val="0"/>
          <w:sz w:val="21"/>
          <w:szCs w:val="24"/>
          <w:lang w:eastAsia="zh-CN"/>
        </w:rPr>
        <w:t>地球科学与工程学院 河北邯郸 056006</w:t>
      </w:r>
    </w:p>
    <w:p w14:paraId="27A3F3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b w:val="0"/>
          <w:bCs w:val="0"/>
          <w:sz w:val="21"/>
          <w:szCs w:val="24"/>
          <w:lang w:eastAsia="zh-CN"/>
        </w:rPr>
      </w:pPr>
      <w:r>
        <w:rPr>
          <w:rFonts w:hint="eastAsia"/>
          <w:b w:val="0"/>
          <w:bCs w:val="0"/>
          <w:sz w:val="21"/>
          <w:szCs w:val="24"/>
          <w:lang w:val="en-US" w:eastAsia="zh-CN"/>
        </w:rPr>
        <w:t>2.</w:t>
      </w:r>
      <w:r>
        <w:rPr>
          <w:rFonts w:hint="eastAsia"/>
          <w:b w:val="0"/>
          <w:bCs w:val="0"/>
          <w:sz w:val="21"/>
          <w:szCs w:val="24"/>
          <w:lang w:eastAsia="zh-CN"/>
        </w:rPr>
        <w:t>目前高校文化</w:t>
      </w:r>
      <w:r>
        <w:rPr>
          <w:rFonts w:hint="eastAsia"/>
          <w:b w:val="0"/>
          <w:bCs w:val="0"/>
          <w:sz w:val="21"/>
          <w:szCs w:val="24"/>
          <w:lang w:val="en-US" w:eastAsia="zh-CN"/>
        </w:rPr>
        <w:t>育人的工作同理论教育、实践</w:t>
      </w:r>
      <w:r>
        <w:rPr>
          <w:rFonts w:hint="eastAsia"/>
          <w:b w:val="0"/>
          <w:bCs w:val="0"/>
          <w:sz w:val="21"/>
          <w:szCs w:val="24"/>
          <w:lang w:eastAsia="zh-CN"/>
        </w:rPr>
        <w:t>育人相脱离，很容易造</w:t>
      </w:r>
    </w:p>
    <w:p w14:paraId="0A77C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asciiTheme="minorHAnsi" w:eastAsiaTheme="minorEastAsia" w:hAnsiTheme="minorHAnsi" w:cstheme="minorBidi" w:hint="eastAsia"/>
          <w:b/>
          <w:bCs/>
          <w:kern w:val="2"/>
          <w:sz w:val="24"/>
          <w:szCs w:val="32"/>
          <w:lang w:val="en-US" w:eastAsia="zh-CN" w:bidi="ar-SA"/>
        </w:rPr>
        <w:t>摘要：</w:t>
      </w:r>
      <w:r>
        <w:rPr>
          <w:rFonts w:ascii="Segoe UI" w:eastAsia="Segoe UI" w:hAnsi="Segoe UI" w:cs="Segoe UI"/>
          <w:i w:val="0"/>
          <w:iCs w:val="0"/>
          <w:caps w:val="0"/>
          <w:color w:val="0F1115"/>
          <w:spacing w:val="0"/>
          <w:sz w:val="24"/>
          <w:szCs w:val="24"/>
          <w:shd w:val="clear" w:color="auto" w:fill="FFFFFF"/>
        </w:rPr>
        <w:t>成学生认识与实践的断层，阻碍着高校育人工作质量的提高。邯郸地域文化底蕴丰富，邯郸地域成语典故、红色传统、非遗技</w:t>
      </w:r>
      <w:r>
        <w:rPr>
          <w:rFonts w:asciiTheme="minorHAnsi" w:eastAsiaTheme="minorEastAsia" w:hAnsiTheme="minorHAnsi" w:cstheme="minorBidi" w:hint="eastAsia"/>
          <w:kern w:val="2"/>
          <w:sz w:val="24"/>
          <w:szCs w:val="32"/>
          <w:lang w:val="en-US" w:eastAsia="zh-CN" w:bidi="ar-SA"/>
        </w:rPr>
        <w:t>艺等特色资源有较高的育人价值。立足于地方高校育人实际，以邯郸地域文化为依托，搭</w:t>
      </w:r>
      <w:r>
        <w:rPr>
          <w:rFonts w:ascii="Segoe UI" w:eastAsia="Segoe UI" w:hAnsi="Segoe UI" w:cs="Segoe UI"/>
          <w:i w:val="0"/>
          <w:iCs w:val="0"/>
          <w:caps w:val="0"/>
          <w:color w:val="0F1115"/>
          <w:spacing w:val="0"/>
          <w:sz w:val="24"/>
          <w:szCs w:val="24"/>
          <w:shd w:val="clear" w:color="auto" w:fill="FFFFFF"/>
        </w:rPr>
        <w:t>建起“技术赋能—课程重构—实践深化”的三重融合体系，对地域文化有机融入高校文化自信培育工作的实施路径和内在机理进行系统的探究，使二者由表及里地实现深度的融合。三维融合模式可以有效地</w:t>
      </w:r>
      <w:r>
        <w:rPr>
          <w:rFonts w:ascii="Segoe UI" w:eastAsia="宋体" w:hAnsi="Segoe UI" w:cs="Segoe UI" w:hint="eastAsia"/>
          <w:i w:val="0"/>
          <w:iCs w:val="0"/>
          <w:caps w:val="0"/>
          <w:color w:val="0F1115"/>
          <w:spacing w:val="0"/>
          <w:sz w:val="24"/>
          <w:szCs w:val="24"/>
          <w:shd w:val="clear" w:color="auto" w:fill="FFFFFF"/>
          <w:lang w:eastAsia="zh-CN"/>
        </w:rPr>
        <w:t>提</w:t>
      </w:r>
      <w:r>
        <w:rPr>
          <w:rFonts w:ascii="Segoe UI" w:eastAsia="Segoe UI" w:hAnsi="Segoe UI" w:cs="Segoe UI"/>
          <w:i w:val="0"/>
          <w:iCs w:val="0"/>
          <w:caps w:val="0"/>
          <w:color w:val="0F1115"/>
          <w:spacing w:val="0"/>
          <w:sz w:val="24"/>
          <w:szCs w:val="24"/>
          <w:shd w:val="clear" w:color="auto" w:fill="FFFFFF"/>
        </w:rPr>
        <w:t>高大学生对于本地区文化产生归属感、践行力，给地方高校文化自信培育创新提供可以操作、可以推广的范式。在此基础上</w:t>
      </w:r>
      <w:r>
        <w:rPr>
          <w:rFonts w:ascii="Segoe UI" w:eastAsia="Segoe UI" w:hAnsi="Segoe UI" w:cs="Segoe UI"/>
          <w:i w:val="0"/>
          <w:iCs w:val="0"/>
          <w:caps w:val="0"/>
          <w:color w:val="0F1115"/>
          <w:spacing w:val="0"/>
          <w:sz w:val="24"/>
          <w:szCs w:val="24"/>
          <w:shd w:val="clear" w:color="auto" w:fill="FFFFFF"/>
        </w:rPr>
        <w:t>建立三维的评价体系，用量化的方法来检验育人的效果，给地域文化同文化自信培育的深度整合提供一些思路，也给解决育人脱节问题提供一些借鉴。</w:t>
      </w:r>
    </w:p>
    <w:p w14:paraId="2F5584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32"/>
          <w:lang w:val="en-US" w:eastAsia="zh-CN"/>
        </w:rPr>
      </w:pPr>
      <w:r>
        <w:rPr>
          <w:rFonts w:hint="eastAsia"/>
          <w:b/>
          <w:bCs/>
          <w:sz w:val="24"/>
          <w:szCs w:val="32"/>
          <w:lang w:val="en-US" w:eastAsia="zh-CN"/>
        </w:rPr>
        <w:t>关键词：</w:t>
      </w:r>
      <w:r>
        <w:rPr>
          <w:rFonts w:ascii="Segoe UI" w:eastAsia="Segoe UI" w:hAnsi="Segoe UI" w:cs="Segoe UI"/>
          <w:i w:val="0"/>
          <w:iCs w:val="0"/>
          <w:caps w:val="0"/>
          <w:color w:val="0F1115"/>
          <w:spacing w:val="0"/>
          <w:sz w:val="24"/>
          <w:szCs w:val="24"/>
          <w:shd w:val="clear" w:color="auto" w:fill="FFFFFF"/>
        </w:rPr>
        <w:t>三维融合；文化自信；地域文化；文化育人；立德树人</w:t>
      </w:r>
    </w:p>
    <w:p w14:paraId="0AF813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习近平总书记指出，中华优秀传统文化是中华民族的精神血脉，也是社会主义核心价值观的源泉。地域文化是中华优秀传统文化、革命文化、社会主义先进文化在地域层面的承载者，它所包含的家国情怀、奋斗精神、道德准则和人文底蕴，是高校文化自信培养的宝贵资源。大学生是文化传承与创造的生力军，文化认同感的形成同国家文化软实力的根基有着直接联系。邯郸是我国历史文化名城，有丰富的赵文化开放包容的资源、成语典故里的处世哲学、磁州窑技艺的工匠精神等。这些文化基因同社会主义核心价值观存在着高度的契合之处，应该成为高校文化自信培育的载体</w:t>
      </w:r>
      <w:r>
        <w:rPr>
          <w:rStyle w:val="EndnoteReference"/>
          <w:rFonts w:hint="eastAsia"/>
          <w:sz w:val="24"/>
          <w:szCs w:val="32"/>
        </w:rPr>
        <w:t>[</w:t>
      </w:r>
      <w:r>
        <w:rPr>
          <w:rStyle w:val="EndnoteReference"/>
          <w:rFonts w:hint="eastAsia"/>
          <w:sz w:val="24"/>
          <w:szCs w:val="32"/>
        </w:rPr>
        <w:endnoteReference w:id="2"/>
      </w:r>
      <w:r>
        <w:rPr>
          <w:rStyle w:val="EndnoteReference"/>
          <w:rFonts w:hint="eastAsia"/>
          <w:sz w:val="24"/>
          <w:szCs w:val="32"/>
        </w:rPr>
        <w:t>]</w:t>
      </w:r>
      <w:r>
        <w:rPr>
          <w:rFonts w:hint="eastAsia"/>
          <w:sz w:val="24"/>
          <w:szCs w:val="32"/>
        </w:rPr>
        <w:t>。</w:t>
      </w:r>
    </w:p>
    <w:p w14:paraId="638767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asciiTheme="minorHAnsi" w:eastAsiaTheme="minorEastAsia" w:hAnsiTheme="minorHAnsi" w:cstheme="minorBidi" w:hint="eastAsia"/>
          <w:kern w:val="2"/>
          <w:sz w:val="24"/>
          <w:szCs w:val="32"/>
          <w:lang w:val="en-US" w:eastAsia="zh-CN" w:bidi="ar-SA"/>
        </w:rPr>
        <w:t>当前高校文化自信培育存在着“重理论灌输、轻实践感悟”“重共性、轻特色”的现实短板，缺少地域文化资源与文化自信培育的融合，校园育人场域和社会实践场景的双向脱节，使文化自信培育停留在表面，难以达到预期的育人效果，地域文化赋能与高校文化自信培育工作深度融合的“两张皮”问题较为严重。就邯郸本地高校而言，地域文化的文化自信培育还处在零散化、浅层次的阶段，没有形成一个完整的资源整合体系，也没有创新化的教学实施方法，配套的育人评价机制也处于空白状态。通过相关调研可以得知只有大约三分之一的高校课程会将本土文化元素融入到课程中，并且大多采取的是单一的知识灌输式教学，缺少沉浸式的体验设计以及互动式的参与环节，缺少学生的情感共鸣以及参与感。只停留在表面的“贴标签式”融合方式，不能触动学生的心灵去进行价值引领，更不能把文化滋养变成行为自</w:t>
      </w:r>
      <w:r>
        <w:rPr>
          <w:rFonts w:cstheme="minorBidi" w:hint="eastAsia"/>
          <w:kern w:val="2"/>
          <w:sz w:val="24"/>
          <w:szCs w:val="32"/>
          <w:lang w:val="en-US" w:eastAsia="zh-CN" w:bidi="ar-SA"/>
        </w:rPr>
        <w:t>觉，使地域</w:t>
      </w:r>
      <w:r>
        <w:rPr>
          <w:rFonts w:asciiTheme="minorHAnsi" w:eastAsiaTheme="minorEastAsia" w:hAnsiTheme="minorHAnsi" w:cstheme="minorBidi" w:hint="eastAsia"/>
          <w:kern w:val="2"/>
          <w:sz w:val="24"/>
          <w:szCs w:val="32"/>
          <w:lang w:val="en-US" w:eastAsia="zh-CN" w:bidi="ar-SA"/>
        </w:rPr>
        <w:t>文化同文化育人工作越来越严重地出现脱节的状况。已有研究大多从宏观的理论阐释或者整体的课程体系创建出发，很少有学者从地域文化资源的创造性转化入手，对文化育人的路径进行针对性的研究</w:t>
      </w:r>
      <w:r>
        <w:rPr>
          <w:rFonts w:asciiTheme="minorHAnsi" w:eastAsiaTheme="minorEastAsia" w:hAnsiTheme="minorHAnsi" w:cstheme="minorBidi" w:hint="eastAsia"/>
          <w:kern w:val="2"/>
          <w:sz w:val="24"/>
          <w:szCs w:val="32"/>
          <w:vertAlign w:val="superscript"/>
          <w:lang w:val="en-US" w:eastAsia="zh-CN" w:bidi="ar-SA"/>
        </w:rPr>
        <w:t>[</w:t>
      </w:r>
      <w:r>
        <w:rPr>
          <w:rStyle w:val="EndnoteReference"/>
          <w:rFonts w:hint="eastAsia"/>
          <w:sz w:val="24"/>
          <w:szCs w:val="32"/>
        </w:rPr>
        <w:endnoteReference w:id="3"/>
      </w:r>
      <w:r>
        <w:rPr>
          <w:rFonts w:asciiTheme="minorHAnsi" w:eastAsiaTheme="minorEastAsia" w:hAnsiTheme="minorHAnsi" w:cstheme="minorBidi" w:hint="eastAsia"/>
          <w:kern w:val="2"/>
          <w:sz w:val="24"/>
          <w:szCs w:val="32"/>
          <w:vertAlign w:val="superscript"/>
          <w:lang w:val="en-US" w:eastAsia="zh-CN" w:bidi="ar-SA"/>
        </w:rPr>
        <w:t>]</w:t>
      </w:r>
      <w:r>
        <w:rPr>
          <w:rFonts w:asciiTheme="minorHAnsi" w:eastAsiaTheme="minorEastAsia" w:hAnsiTheme="minorHAnsi" w:cstheme="minorBidi" w:hint="eastAsia"/>
          <w:kern w:val="2"/>
          <w:sz w:val="24"/>
          <w:szCs w:val="32"/>
          <w:lang w:val="en-US" w:eastAsia="zh-CN" w:bidi="ar-SA"/>
        </w:rPr>
        <w:t>。</w:t>
      </w:r>
    </w:p>
    <w:p w14:paraId="29D9D5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bCs/>
          <w:sz w:val="24"/>
          <w:szCs w:val="32"/>
        </w:rPr>
      </w:pPr>
      <w:r>
        <w:rPr>
          <w:rFonts w:hint="eastAsia"/>
          <w:b/>
          <w:bCs/>
          <w:sz w:val="24"/>
          <w:szCs w:val="32"/>
        </w:rPr>
        <w:t xml:space="preserve">一、理论基础与文献述评  </w:t>
      </w:r>
    </w:p>
    <w:p w14:paraId="36CD41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asciiTheme="minorHAnsi" w:eastAsiaTheme="minorEastAsia" w:hAnsiTheme="minorHAnsi" w:cstheme="minorBidi" w:hint="eastAsia"/>
          <w:kern w:val="2"/>
          <w:sz w:val="24"/>
          <w:szCs w:val="32"/>
          <w:lang w:val="en-US" w:eastAsia="zh-CN" w:bidi="ar-SA"/>
        </w:rPr>
        <w:t>文化育人是用文化作为载体，把大学生的价值塑造、思想引领、行为养成作为系统工程的育人过程。高校文化自信培育的要义就是开展系统的文化教育引领</w:t>
      </w:r>
      <w:r>
        <w:rPr>
          <w:rFonts w:cstheme="minorBidi" w:hint="eastAsia"/>
          <w:kern w:val="2"/>
          <w:sz w:val="24"/>
          <w:szCs w:val="32"/>
          <w:lang w:val="en-US" w:eastAsia="zh-CN" w:bidi="ar-SA"/>
        </w:rPr>
        <w:t>、专业教</w:t>
      </w:r>
      <w:r>
        <w:rPr>
          <w:rFonts w:asciiTheme="minorHAnsi" w:eastAsiaTheme="minorEastAsia" w:hAnsiTheme="minorHAnsi" w:cstheme="minorBidi" w:hint="eastAsia"/>
          <w:kern w:val="2"/>
          <w:sz w:val="24"/>
          <w:szCs w:val="32"/>
          <w:lang w:val="en-US" w:eastAsia="zh-CN" w:bidi="ar-SA"/>
        </w:rPr>
        <w:t>育和道</w:t>
      </w:r>
      <w:r>
        <w:rPr>
          <w:rFonts w:cstheme="minorBidi" w:hint="eastAsia"/>
          <w:kern w:val="2"/>
          <w:sz w:val="24"/>
          <w:szCs w:val="32"/>
          <w:lang w:val="en-US" w:eastAsia="zh-CN" w:bidi="ar-SA"/>
        </w:rPr>
        <w:t>德教</w:t>
      </w:r>
      <w:r>
        <w:rPr>
          <w:rFonts w:asciiTheme="minorHAnsi" w:eastAsiaTheme="minorEastAsia" w:hAnsiTheme="minorHAnsi" w:cstheme="minorBidi" w:hint="eastAsia"/>
          <w:kern w:val="2"/>
          <w:sz w:val="24"/>
          <w:szCs w:val="32"/>
          <w:lang w:val="en-US" w:eastAsia="zh-CN" w:bidi="ar-SA"/>
        </w:rPr>
        <w:t>育三者并重。二</w:t>
      </w:r>
      <w:r>
        <w:rPr>
          <w:rFonts w:cstheme="minorBidi" w:hint="eastAsia"/>
          <w:kern w:val="2"/>
          <w:sz w:val="24"/>
          <w:szCs w:val="32"/>
          <w:lang w:val="en-US" w:eastAsia="zh-CN" w:bidi="ar-SA"/>
        </w:rPr>
        <w:t>者不是孤</w:t>
      </w:r>
      <w:r>
        <w:rPr>
          <w:rFonts w:asciiTheme="minorHAnsi" w:eastAsiaTheme="minorEastAsia" w:hAnsiTheme="minorHAnsi" w:cstheme="minorBidi" w:hint="eastAsia"/>
          <w:kern w:val="2"/>
          <w:sz w:val="24"/>
          <w:szCs w:val="32"/>
          <w:lang w:val="en-US" w:eastAsia="zh-CN" w:bidi="ar-SA"/>
        </w:rPr>
        <w:t>立存在的两个育人模块，而应该在深层次上互相融合、共同发力形成有机的整体，地域文化给文化自信培育赋予鲜活的素材和情感的共鸣，文化自信给文化传承指明时代方向和价值内核，两者相互促进、相互推动</w:t>
      </w:r>
      <w:r>
        <w:rPr>
          <w:rFonts w:asciiTheme="minorHAnsi" w:eastAsiaTheme="minorEastAsia" w:hAnsiTheme="minorHAnsi" w:cstheme="minorBidi" w:hint="eastAsia"/>
          <w:kern w:val="2"/>
          <w:sz w:val="24"/>
          <w:szCs w:val="32"/>
          <w:vertAlign w:val="superscript"/>
          <w:lang w:val="en-US" w:eastAsia="zh-CN" w:bidi="ar-SA"/>
        </w:rPr>
        <w:t>[</w:t>
      </w:r>
      <w:r>
        <w:rPr>
          <w:rStyle w:val="EndnoteReference"/>
          <w:rFonts w:hint="eastAsia"/>
          <w:sz w:val="24"/>
          <w:szCs w:val="32"/>
        </w:rPr>
        <w:endnoteReference w:id="4"/>
      </w:r>
      <w:r>
        <w:rPr>
          <w:rFonts w:asciiTheme="minorHAnsi" w:eastAsiaTheme="minorEastAsia" w:hAnsiTheme="minorHAnsi" w:cstheme="minorBidi" w:hint="eastAsia"/>
          <w:kern w:val="2"/>
          <w:sz w:val="24"/>
          <w:szCs w:val="32"/>
          <w:vertAlign w:val="superscript"/>
          <w:lang w:val="en-US" w:eastAsia="zh-CN" w:bidi="ar-SA"/>
        </w:rPr>
        <w:t>]</w:t>
      </w:r>
      <w:r>
        <w:rPr>
          <w:rFonts w:asciiTheme="minorHAnsi" w:eastAsiaTheme="minorEastAsia" w:hAnsiTheme="minorHAnsi" w:cstheme="minorBidi" w:hint="eastAsia"/>
          <w:kern w:val="2"/>
          <w:sz w:val="24"/>
          <w:szCs w:val="32"/>
          <w:lang w:val="en-US" w:eastAsia="zh-CN" w:bidi="ar-SA"/>
        </w:rPr>
        <w:t>。 。</w:t>
      </w:r>
    </w:p>
    <w:p w14:paraId="31B8BA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政策上给予二者融合以顶层设计和根本要求。近些年来国家一直重视文化自信的坚定，推进课程高质量建设，提出要将价值引领渗透到教育教学的全过程、各个环节之中，给地域特色文化精准融入文化自信培育工作体系指明了方向、给予了政策上的支持</w:t>
      </w:r>
      <w:r>
        <w:rPr>
          <w:rStyle w:val="EndnoteReference"/>
          <w:rFonts w:hint="eastAsia"/>
          <w:sz w:val="24"/>
          <w:szCs w:val="32"/>
        </w:rPr>
        <w:t>[</w:t>
      </w:r>
      <w:r>
        <w:rPr>
          <w:rStyle w:val="EndnoteReference"/>
          <w:rFonts w:hint="eastAsia"/>
          <w:sz w:val="24"/>
          <w:szCs w:val="32"/>
        </w:rPr>
        <w:endnoteReference w:id="5"/>
      </w:r>
      <w:r>
        <w:rPr>
          <w:rStyle w:val="EndnoteReference"/>
          <w:rFonts w:hint="eastAsia"/>
          <w:sz w:val="24"/>
          <w:szCs w:val="32"/>
        </w:rPr>
        <w:t>][</w:t>
      </w:r>
      <w:r>
        <w:rPr>
          <w:rStyle w:val="EndnoteReference"/>
          <w:rFonts w:hint="eastAsia"/>
          <w:sz w:val="24"/>
          <w:szCs w:val="32"/>
        </w:rPr>
        <w:endnoteReference w:id="6"/>
      </w:r>
      <w:r>
        <w:rPr>
          <w:rStyle w:val="EndnoteReference"/>
          <w:rFonts w:hint="eastAsia"/>
          <w:sz w:val="24"/>
          <w:szCs w:val="32"/>
        </w:rPr>
        <w:t>][</w:t>
      </w:r>
      <w:r>
        <w:rPr>
          <w:rStyle w:val="EndnoteReference"/>
          <w:rFonts w:hint="eastAsia"/>
          <w:sz w:val="24"/>
          <w:szCs w:val="32"/>
        </w:rPr>
        <w:endnoteReference w:id="7"/>
      </w:r>
      <w:r>
        <w:rPr>
          <w:rStyle w:val="EndnoteReference"/>
          <w:rFonts w:hint="eastAsia"/>
          <w:sz w:val="24"/>
          <w:szCs w:val="32"/>
        </w:rPr>
        <w:t>]</w:t>
      </w:r>
      <w:r>
        <w:rPr>
          <w:rFonts w:hint="eastAsia"/>
          <w:sz w:val="24"/>
          <w:szCs w:val="32"/>
        </w:rPr>
        <w:t>。</w:t>
      </w:r>
    </w:p>
    <w:p w14:paraId="10D063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学术研究与实践探索层面，已有成果形成了有益参考：沈壮海等学者提出，文化育人必须贴近学生生活实际，摒弃空泛化、说教式的传统模式</w:t>
      </w:r>
      <w:r>
        <w:rPr>
          <w:rStyle w:val="EndnoteReference"/>
          <w:rFonts w:hint="eastAsia"/>
          <w:sz w:val="24"/>
          <w:szCs w:val="32"/>
        </w:rPr>
        <w:t>[</w:t>
      </w:r>
      <w:r>
        <w:rPr>
          <w:rStyle w:val="EndnoteReference"/>
          <w:rFonts w:hint="eastAsia"/>
          <w:sz w:val="24"/>
          <w:szCs w:val="32"/>
        </w:rPr>
        <w:endnoteReference w:id="8"/>
      </w:r>
      <w:r>
        <w:rPr>
          <w:rStyle w:val="EndnoteReference"/>
          <w:rFonts w:hint="eastAsia"/>
          <w:sz w:val="24"/>
          <w:szCs w:val="32"/>
        </w:rPr>
        <w:t>]</w:t>
      </w:r>
      <w:r>
        <w:rPr>
          <w:rFonts w:hint="eastAsia"/>
          <w:sz w:val="24"/>
          <w:szCs w:val="32"/>
        </w:rPr>
        <w:t>；冯刚则指出，创新育人载体与实施形式，是提升文化自信工作实效性的关键抓手</w:t>
      </w:r>
      <w:r>
        <w:rPr>
          <w:rStyle w:val="EndnoteReference"/>
          <w:rFonts w:hint="eastAsia"/>
          <w:sz w:val="24"/>
          <w:szCs w:val="32"/>
        </w:rPr>
        <w:t>[</w:t>
      </w:r>
      <w:r>
        <w:rPr>
          <w:rStyle w:val="EndnoteReference"/>
          <w:rFonts w:hint="eastAsia"/>
          <w:sz w:val="24"/>
          <w:szCs w:val="32"/>
        </w:rPr>
        <w:endnoteReference w:id="9"/>
      </w:r>
      <w:r>
        <w:rPr>
          <w:rStyle w:val="EndnoteReference"/>
          <w:rFonts w:hint="eastAsia"/>
          <w:sz w:val="24"/>
          <w:szCs w:val="32"/>
        </w:rPr>
        <w:t>]</w:t>
      </w:r>
      <w:r>
        <w:rPr>
          <w:rFonts w:hint="eastAsia"/>
          <w:sz w:val="24"/>
          <w:szCs w:val="32"/>
        </w:rPr>
        <w:t>。实践领域中，大运河文化、徽文化等特色地域文化，依托课程开发与实践体验融合的模式，已积累了可借鉴的育人经验。但纵观现有研究，针对邯郸地域文化的系统性挖掘与育人转化研究尚显薄弱，尤其缺乏数字技术赋能、校地协同联动的综合性路径探析。本研究正是聚焦这一研究空白与实践短板，开展针对性的深入探索与路径创新。</w:t>
      </w:r>
    </w:p>
    <w:p w14:paraId="2E9F57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b/>
          <w:bCs/>
          <w:sz w:val="24"/>
          <w:szCs w:val="32"/>
        </w:rPr>
        <w:t xml:space="preserve">二、研究设计与方法  </w:t>
      </w:r>
    </w:p>
    <w:p w14:paraId="6967E0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文献研究法打下坚实的理论根基。对邯郸地方志典籍、地方文化发展政策、有关学术著作和高校教育经典理论进行梳理，对邯郸地域文化资源进行系统的梳理，准确找到邯郸地域文化中蕴含</w:t>
      </w:r>
      <w:r>
        <w:rPr>
          <w:rFonts w:hint="eastAsia"/>
          <w:sz w:val="24"/>
          <w:szCs w:val="32"/>
          <w:lang w:val="en-US" w:eastAsia="zh-CN"/>
        </w:rPr>
        <w:t>的文</w:t>
      </w:r>
      <w:r>
        <w:rPr>
          <w:rFonts w:hint="eastAsia"/>
          <w:sz w:val="24"/>
          <w:szCs w:val="32"/>
        </w:rPr>
        <w:t>化育人价值维度，为之后的研究做好理论铺垫。</w:t>
      </w:r>
    </w:p>
    <w:p w14:paraId="55D5CE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用问卷调查法、半结构化访谈法进行实证研究。2024年3月至5月在邯郸市的五所不同性质高校（综合大学、师范学院、职业学院）中选取在校大学生作为调查对象，采用分层抽样的方法发放问卷1200份，收回问卷1128份，有效问卷率为94%，在有效问卷的基础上，选取20名师生代表进行半结构化的深度访谈，得到关于文化育人的实施情况、存在的问题和发展期望的质性资料，保证定量数据和定性数据互相印证。</w:t>
      </w:r>
    </w:p>
    <w:p w14:paraId="613012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采用行动研究法进行实践检验。根据前期的调研结论，在河北工程大学等院校选取试点对象，联合校内师生一起开展为期一个学期的“邯郸文化沉浸式育人”行动，开展“成语典故数字剧场”“磁州窑非遗工坊”等特色子项目的研究；全程跟踪研究，实时观察、过程反思、数据整理、策略改进，保证研究的可行性、有效性。</w:t>
      </w:r>
    </w:p>
    <w:p w14:paraId="508933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b/>
          <w:bCs/>
          <w:sz w:val="24"/>
          <w:szCs w:val="32"/>
        </w:rPr>
        <w:t>三、现实困境：</w:t>
      </w:r>
      <w:r>
        <w:rPr>
          <w:rFonts w:hint="eastAsia"/>
          <w:b/>
          <w:bCs/>
          <w:sz w:val="24"/>
          <w:szCs w:val="32"/>
          <w:lang w:val="en-US" w:eastAsia="zh-CN"/>
        </w:rPr>
        <w:t>地域文化</w:t>
      </w:r>
      <w:r>
        <w:rPr>
          <w:rFonts w:hint="eastAsia"/>
          <w:b/>
          <w:bCs/>
          <w:sz w:val="24"/>
          <w:szCs w:val="32"/>
        </w:rPr>
        <w:t>与文化自信为何“两张皮”？</w:t>
      </w:r>
      <w:r>
        <w:rPr>
          <w:rFonts w:hint="eastAsia"/>
          <w:sz w:val="24"/>
          <w:szCs w:val="32"/>
        </w:rPr>
        <w:t xml:space="preserve">  </w:t>
      </w:r>
    </w:p>
    <w:p w14:paraId="2BE5EF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asciiTheme="minorHAnsi" w:eastAsiaTheme="minorEastAsia" w:hAnsiTheme="minorHAnsi" w:cstheme="minorBidi" w:hint="eastAsia"/>
          <w:kern w:val="2"/>
          <w:sz w:val="24"/>
          <w:szCs w:val="32"/>
          <w:lang w:val="en-US" w:eastAsia="zh-CN" w:bidi="ar-SA"/>
        </w:rPr>
        <w:t>目前邯郸文化在高校文化自信培育中应用存在着四个现实困境，造成融合的表层化。资源是分散的，没有进行整合。历史典故、成语、红色遗址、非遗技艺等各学科都有所涉猎，但是没有形成育人的合力。二是形式单一，技术赋能欠缺。文化传授仍以课堂讲授、图片展示为主，VR/AR、元宇宙、数字叙事等现代科技手段的使用很少，不能使学生养成数字互动的习惯。三是各自为战，资源闲置严重。高校同地方文旅、文博、党史研究等相关部门联系不紧密，优质的地域文化资源不能很好地转变</w:t>
      </w:r>
      <w:r>
        <w:rPr>
          <w:rFonts w:cstheme="minorBidi" w:hint="eastAsia"/>
          <w:kern w:val="2"/>
          <w:sz w:val="24"/>
          <w:szCs w:val="32"/>
          <w:lang w:val="en-US" w:eastAsia="zh-CN" w:bidi="ar-SA"/>
        </w:rPr>
        <w:t>为文</w:t>
      </w:r>
      <w:r>
        <w:rPr>
          <w:rFonts w:asciiTheme="minorHAnsi" w:eastAsiaTheme="minorEastAsia" w:hAnsiTheme="minorHAnsi" w:cstheme="minorBidi" w:hint="eastAsia"/>
          <w:kern w:val="2"/>
          <w:sz w:val="24"/>
          <w:szCs w:val="32"/>
          <w:lang w:val="en-US" w:eastAsia="zh-CN" w:bidi="ar-SA"/>
        </w:rPr>
        <w:t>化自信培育的教学素材。四、缺少评价，无法测量效果。目前育人成果大多依靠心得体会、活动总结这些主观性的材料来评定，缺少科学合理的量化评价手段，致使教学改进缺少依据，育人成效很难得到验证。由于以上原因造成文化育人“贴不实、融不深、难见效”，没有真正嵌入学生价值观塑造和行为养成的全过程。</w:t>
      </w:r>
    </w:p>
    <w:p w14:paraId="0577F6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bCs/>
          <w:sz w:val="24"/>
          <w:szCs w:val="32"/>
        </w:rPr>
      </w:pPr>
      <w:r>
        <w:rPr>
          <w:rFonts w:hint="eastAsia"/>
          <w:b/>
          <w:bCs/>
          <w:sz w:val="24"/>
          <w:szCs w:val="32"/>
        </w:rPr>
        <w:t xml:space="preserve">四、路径探索：三维融合让文化“活”起来  </w:t>
      </w:r>
    </w:p>
    <w:p w14:paraId="5FF19F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w:t>
      </w:r>
      <w:r>
        <w:rPr>
          <w:rFonts w:hint="eastAsia"/>
          <w:sz w:val="24"/>
          <w:szCs w:val="32"/>
          <w:lang w:eastAsia="zh-CN"/>
        </w:rPr>
        <w:t>、</w:t>
      </w:r>
      <w:r>
        <w:rPr>
          <w:rFonts w:hint="eastAsia"/>
          <w:sz w:val="24"/>
          <w:szCs w:val="32"/>
        </w:rPr>
        <w:t xml:space="preserve">技术赋能：营造沉浸式文化场景  </w:t>
      </w:r>
    </w:p>
    <w:p w14:paraId="4210DE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打破传统的课堂边界，使用数字技术把可以被感知、可以被互动、可以被共情的文化体验空间创造出来。采用3D建模、虚拟引擎技术建立完整的战国邯郸城复原模型，“邯郸文化元宇宙”线上展厅可以实现邯郸文化沉浸式的漫游、互动式的探究。搭建集成化的邯郸文化云智能平台，把分散的成语故事、红色史料、非遗技艺等资源进行数字整合，并采用系列微纪录片、互动短视频、情境答题等轻量化传播方式，使文化学习由“听讲”变“探究”，以“体验”加深情感、获得价值认同。</w:t>
      </w:r>
    </w:p>
    <w:p w14:paraId="47B127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2</w:t>
      </w:r>
      <w:r>
        <w:rPr>
          <w:rFonts w:hint="eastAsia"/>
          <w:sz w:val="24"/>
          <w:szCs w:val="32"/>
          <w:lang w:eastAsia="zh-CN"/>
        </w:rPr>
        <w:t>、</w:t>
      </w:r>
      <w:r>
        <w:rPr>
          <w:rFonts w:hint="eastAsia"/>
          <w:sz w:val="24"/>
          <w:szCs w:val="32"/>
        </w:rPr>
        <w:t xml:space="preserve">课程重构：构建“文化＋”跨学科体系  </w:t>
      </w:r>
    </w:p>
    <w:p w14:paraId="5E54E5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使邯郸的文化从散乱的素材变成系统的、结构化的课程资源。从通识教育的角度来说，在必修或者核心选修课中开设《邯郸成语里的中国智慧》等课程来阐述它的哲学思想以及现实意义。从专业教育角度来说，在跨学科课程融合方面推进，艺术设计专业开设磁州窑纹样创新设计课、旅游管理专业开设邯郸文化遗产旅游策划实战课、中文专业开设赵文化经典文本研读课。另外成立跨院系的“邯郸文化传承与创新研究中心”，组建文、史、哲、艺、工等各方面的教学科研队伍，开发模块化的、项目式的教学资源包，使文化传承与创新工作与专业教育相互促进，协同发展</w:t>
      </w:r>
      <w:r>
        <w:rPr>
          <w:rStyle w:val="EndnoteReference"/>
          <w:rFonts w:hint="eastAsia"/>
          <w:sz w:val="24"/>
          <w:szCs w:val="32"/>
        </w:rPr>
        <w:t>[</w:t>
      </w:r>
      <w:r>
        <w:rPr>
          <w:rStyle w:val="EndnoteReference"/>
          <w:rFonts w:hint="eastAsia"/>
          <w:sz w:val="24"/>
          <w:szCs w:val="32"/>
        </w:rPr>
        <w:endnoteReference w:id="10"/>
      </w:r>
      <w:r>
        <w:rPr>
          <w:rStyle w:val="EndnoteReference"/>
          <w:rFonts w:hint="eastAsia"/>
          <w:sz w:val="24"/>
          <w:szCs w:val="32"/>
        </w:rPr>
        <w:t>]</w:t>
      </w:r>
      <w:r>
        <w:rPr>
          <w:rFonts w:hint="eastAsia"/>
          <w:sz w:val="24"/>
          <w:szCs w:val="32"/>
        </w:rPr>
        <w:t>。   ”</w:t>
      </w:r>
    </w:p>
    <w:p w14:paraId="0AD8AF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3</w:t>
      </w:r>
      <w:r>
        <w:rPr>
          <w:rFonts w:hint="eastAsia"/>
          <w:sz w:val="24"/>
          <w:szCs w:val="32"/>
          <w:lang w:eastAsia="zh-CN"/>
        </w:rPr>
        <w:t>、</w:t>
      </w:r>
      <w:r>
        <w:rPr>
          <w:rFonts w:hint="eastAsia"/>
          <w:sz w:val="24"/>
          <w:szCs w:val="32"/>
        </w:rPr>
        <w:t xml:space="preserve">实践深化：推动校地协同与价值转化  </w:t>
      </w:r>
    </w:p>
    <w:p w14:paraId="0FA282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引导学生由文化认知者变成文化践行者、文化创造者。依靠校地共建的方式同邯郸市文旅局、博物馆、非遗保护中心以及代表性传承人建立“文化自信培育与文化传承实践基地”，创建常态化的磁州窑烧制体验、邯郸秧歌排练展演、红色旧址志愿讲解等活动。鼓励学生创业团队围绕邯郸文化IP开发成语故事盲盒、数字文创藏品等邯郸文化产品，参加地方文创市集，实现文化价值向市场价值、社会价值的创造性转化。选择出优秀的同学参加邯郸文化海外行项目，用情景剧、工作坊的形式在孔子学院或者国际交流场合表现地方文化，用主体性的文化自信促进文化对话</w:t>
      </w:r>
      <w:r>
        <w:rPr>
          <w:rStyle w:val="EndnoteReference"/>
          <w:rFonts w:hint="eastAsia"/>
          <w:sz w:val="24"/>
          <w:szCs w:val="32"/>
        </w:rPr>
        <w:t>[</w:t>
      </w:r>
      <w:r>
        <w:rPr>
          <w:rStyle w:val="EndnoteReference"/>
          <w:rFonts w:hint="eastAsia"/>
          <w:sz w:val="24"/>
          <w:szCs w:val="32"/>
        </w:rPr>
        <w:endnoteReference w:id="11"/>
      </w:r>
      <w:r>
        <w:rPr>
          <w:rStyle w:val="EndnoteReference"/>
          <w:rFonts w:hint="eastAsia"/>
          <w:sz w:val="24"/>
          <w:szCs w:val="32"/>
        </w:rPr>
        <w:t>]</w:t>
      </w:r>
      <w:r>
        <w:rPr>
          <w:rFonts w:hint="eastAsia"/>
          <w:sz w:val="24"/>
          <w:szCs w:val="32"/>
        </w:rPr>
        <w:t>。</w:t>
      </w:r>
    </w:p>
    <w:p w14:paraId="1A363C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bCs/>
          <w:sz w:val="24"/>
          <w:szCs w:val="32"/>
        </w:rPr>
      </w:pPr>
      <w:r>
        <w:rPr>
          <w:rFonts w:hint="eastAsia"/>
          <w:b/>
          <w:bCs/>
          <w:sz w:val="24"/>
          <w:szCs w:val="32"/>
        </w:rPr>
        <w:t xml:space="preserve">五、实施成效与保障机制  </w:t>
      </w:r>
    </w:p>
    <w:p w14:paraId="69EFE7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在试点期研究小组根据所建立的“认知（了解程度），认同（情感态度），践行（行为意愿）”三方面指标体系用李克特五点量表对前后测进行比较评价。从数据可知参与该项目的学生在文化认同方面平均得分提高约27%，比基线期提高18个百分点（p&lt;0.01），项目结束时实践参与率达到基线期的两倍以上，达到了68%。质性访谈表明学生认为自己对文化更加熟悉了，动手传承文化也有了成就感。学生普遍有“文化更亲切”的感受，有“动手传承”的体验。</w:t>
      </w:r>
    </w:p>
    <w:p w14:paraId="0A20F7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为了保证路径是可持续的、可推广的，要创建协同保障体系，即政策协同，在地方教育、文化部门之间共同提出专项支持意见，设立文化育人项目基金。二是师资建设，利用工作坊、联合教研等形式培养出一批能够掌握文化、具备技术、会教学的跨学科教师队伍。三是质量控制，创建由学科专家和文化学者组成的文化课程及内容审核小组，保证文化解读准确无误，设置动态反馈通道，促进传承过程中创新，防止复古倾向或者误解的发生。</w:t>
      </w:r>
    </w:p>
    <w:p w14:paraId="2B76B6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bCs/>
          <w:sz w:val="24"/>
          <w:szCs w:val="32"/>
        </w:rPr>
      </w:pPr>
      <w:r>
        <w:rPr>
          <w:rFonts w:hint="eastAsia"/>
          <w:b/>
          <w:bCs/>
          <w:sz w:val="24"/>
          <w:szCs w:val="32"/>
        </w:rPr>
        <w:t xml:space="preserve">六、结论与展望  </w:t>
      </w:r>
    </w:p>
    <w:p w14:paraId="75934C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邯郸文化育人实践说明，借助技术赋能、课程重建和实践深化三者相结合的方式，可以破除资源壁垒、革新育人形式、筑牢育人成果，是破解</w:t>
      </w:r>
      <w:r>
        <w:rPr>
          <w:rFonts w:hint="eastAsia"/>
          <w:sz w:val="24"/>
          <w:szCs w:val="32"/>
          <w:lang w:val="en-US" w:eastAsia="zh-CN"/>
        </w:rPr>
        <w:t>地域文化</w:t>
      </w:r>
      <w:r>
        <w:rPr>
          <w:rFonts w:hint="eastAsia"/>
          <w:sz w:val="24"/>
          <w:szCs w:val="32"/>
        </w:rPr>
        <w:t>与文化自信培育教育“两张皮”问题的一种方法。这条路径体现出地域文化对于文化自信培育工作具有“鲜活的源泉”作用，其模式的核心可以供其他地方高校参考。</w:t>
      </w:r>
    </w:p>
    <w:p w14:paraId="27BB16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但是本研究也有一定的不足，实践周期短、试点高校数量少，长期效果以及适合于其他高校的情况还有待进一步观察和检验。展望未来，研究可向两个方向深化：一是纵向延伸，探索邯郸文化育人的长期跟踪机制；二是横向拓展，将该模式同乡村振兴、城市品牌塑造等社会发展主题进行更紧密的结合，如创建“非遗技艺赋能乡村美育”社会实践项目等，使文化育人的过程成为社会服务、创造价值的过程，构建更具有生命力、拓展性的立德树人生态。</w:t>
      </w:r>
    </w:p>
    <w:p w14:paraId="1D30CF42">
      <w:pPr>
        <w:rPr>
          <w:rFonts w:ascii="Calibri" w:eastAsia="宋体" w:hAnsi="Calibri" w:cs="Times New Roman" w:hint="eastAsia"/>
          <w:sz w:val="24"/>
          <w:szCs w:val="32"/>
        </w:rPr>
      </w:pPr>
    </w:p>
    <w:p w14:paraId="023B9B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b/>
          <w:bCs/>
          <w:sz w:val="24"/>
          <w:szCs w:val="32"/>
        </w:rPr>
        <w:t>参考文献</w:t>
      </w:r>
    </w:p>
    <w:sectPr>
      <w:endnotePr>
        <w:numFmt w:val="decimal"/>
      </w:endnotePr>
      <w:pgSz w:w="11906" w:h="16838"/>
      <w:pgMar w:top="1440" w:right="1800" w:bottom="1440" w:left="1800" w:header="851" w:footer="992" w:gutter="0"/>
      <w:cols w:num="1" w:space="425"/>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
        <w:separator/>
      </w:r>
    </w:p>
  </w:endnote>
  <w:endnote w:type="continuationSeparator" w:id="1">
    <w:p>
      <w:r>
        <w:continuationSeparator/>
      </w:r>
    </w:p>
  </w:endnote>
  <w:endnote w:id="2">
    <w:p w14:paraId="36285EC3">
      <w:pPr>
        <w:pStyle w:val="EndnoteText"/>
        <w:snapToGrid w:val="0"/>
        <w:rPr>
          <w:rFonts w:ascii="Calibri" w:eastAsia="宋体" w:hAnsi="Calibri" w:cs="Times New Roman" w:hint="eastAsia"/>
          <w:kern w:val="2"/>
          <w:sz w:val="21"/>
          <w:szCs w:val="24"/>
          <w:lang w:val="en-US" w:eastAsia="zh-CN" w:bidi="ar-SA"/>
        </w:rPr>
      </w:pPr>
      <w:r>
        <w:rPr>
          <w:rStyle w:val="EndnoteReference"/>
        </w:rPr>
        <w:t>[</w:t>
      </w:r>
      <w:r>
        <w:rPr>
          <w:rStyle w:val="EndnoteReference"/>
        </w:rPr>
        <w:endnoteRef/>
      </w:r>
      <w:r>
        <w:rPr>
          <w:rStyle w:val="EndnoteReference"/>
        </w:rPr>
        <w:t>]</w:t>
      </w:r>
      <w:r>
        <w:t xml:space="preserve"> </w:t>
      </w:r>
      <w:r>
        <w:rPr>
          <w:rFonts w:ascii="Calibri" w:eastAsia="宋体" w:hAnsi="Calibri" w:cs="Times New Roman" w:hint="eastAsia"/>
          <w:kern w:val="2"/>
          <w:sz w:val="21"/>
          <w:szCs w:val="24"/>
          <w:lang w:val="en-US" w:eastAsia="zh-CN" w:bidi="ar-SA"/>
        </w:rPr>
        <w:t>王艳艳.文化自信背景下地域文化融入学校课程的路径研究[J].天津教育,2026,(07):129-</w:t>
      </w:r>
    </w:p>
    <w:p w14:paraId="4BA2A971">
      <w:pPr>
        <w:pStyle w:val="EndnoteText"/>
        <w:snapToGrid w:val="0"/>
        <w:rPr>
          <w:rFonts w:ascii="Calibri" w:eastAsia="宋体" w:hAnsi="Calibri" w:cs="Times New Roman" w:hint="eastAsia"/>
          <w:kern w:val="2"/>
          <w:sz w:val="21"/>
          <w:szCs w:val="24"/>
          <w:lang w:val="en-US" w:eastAsia="zh-CN" w:bidi="ar-SA"/>
        </w:rPr>
      </w:pPr>
      <w:r>
        <w:rPr>
          <w:rFonts w:ascii="Calibri" w:eastAsia="宋体" w:hAnsi="Calibri" w:cs="Times New Roman" w:hint="eastAsia"/>
          <w:kern w:val="2"/>
          <w:sz w:val="21"/>
          <w:szCs w:val="24"/>
          <w:lang w:val="en-US" w:eastAsia="zh-CN" w:bidi="ar-SA"/>
        </w:rPr>
        <w:t>131.</w:t>
      </w:r>
    </w:p>
  </w:endnote>
  <w:endnote w:id="3">
    <w:p w14:paraId="4BF2BE04">
      <w:r>
        <w:rPr>
          <w:rStyle w:val="EndnoteReference"/>
        </w:rPr>
        <w:t>[</w:t>
      </w:r>
      <w:r>
        <w:rPr>
          <w:rStyle w:val="EndnoteReference"/>
        </w:rPr>
        <w:endnoteRef/>
      </w:r>
      <w:r>
        <w:rPr>
          <w:rStyle w:val="EndnoteReference"/>
        </w:rPr>
        <w:t>]</w:t>
      </w:r>
      <w:r>
        <w:t xml:space="preserve"> </w:t>
      </w:r>
      <w:r>
        <w:rPr>
          <w:rFonts w:ascii="Calibri" w:eastAsia="宋体" w:hAnsi="Calibri" w:cs="Times New Roman" w:hint="eastAsia"/>
        </w:rPr>
        <w:t>邯郸牵手北京邮电大学打造校地协同创新[N].腾讯新闻,2025.</w:t>
      </w:r>
    </w:p>
  </w:endnote>
  <w:endnote w:id="4">
    <w:p w14:paraId="0867E65A">
      <w:r>
        <w:rPr>
          <w:rStyle w:val="EndnoteReference"/>
        </w:rPr>
        <w:t>[</w:t>
      </w:r>
      <w:r>
        <w:rPr>
          <w:rStyle w:val="EndnoteReference"/>
        </w:rPr>
        <w:endnoteRef/>
      </w:r>
      <w:r>
        <w:rPr>
          <w:rStyle w:val="EndnoteReference"/>
        </w:rPr>
        <w:t>]</w:t>
      </w:r>
      <w:r>
        <w:t xml:space="preserve"> </w:t>
      </w:r>
      <w:r>
        <w:rPr>
          <w:rFonts w:ascii="Calibri" w:eastAsia="宋体" w:hAnsi="Calibri" w:cs="Times New Roman" w:hint="eastAsia"/>
        </w:rPr>
        <w:t>郝文辉,柯文进.新时代大学生文化自信培育的价值意蕴、现实境遇与实践向度[J].中国高等教育,2023.</w:t>
      </w:r>
    </w:p>
  </w:endnote>
  <w:endnote w:id="5">
    <w:p w14:paraId="6FB15A25">
      <w:pPr>
        <w:pStyle w:val="EndnoteText"/>
        <w:snapToGrid w:val="0"/>
      </w:pPr>
      <w:r>
        <w:rPr>
          <w:rStyle w:val="EndnoteReference"/>
        </w:rPr>
        <w:t>[</w:t>
      </w:r>
      <w:r>
        <w:rPr>
          <w:rStyle w:val="EndnoteReference"/>
        </w:rPr>
        <w:endnoteRef/>
      </w:r>
      <w:r>
        <w:rPr>
          <w:rStyle w:val="EndnoteReference"/>
        </w:rPr>
        <w:t>]</w:t>
      </w:r>
      <w:r>
        <w:rPr>
          <w:rFonts w:hint="eastAsia"/>
          <w:lang w:val="en-US" w:eastAsia="zh-CN"/>
        </w:rPr>
        <w:t xml:space="preserve"> </w:t>
      </w:r>
      <w:r>
        <w:rPr>
          <w:rFonts w:hint="eastAsia"/>
        </w:rPr>
        <w:t>甘乐.以中华优秀传统文化为载体培育大学生文化自信的路径探析[J].中国大学生在线,2025.</w:t>
      </w:r>
    </w:p>
  </w:endnote>
  <w:endnote w:id="6">
    <w:p w14:paraId="71A4E99D">
      <w:r>
        <w:rPr>
          <w:rStyle w:val="EndnoteReference"/>
        </w:rPr>
        <w:t>[</w:t>
      </w:r>
      <w:r>
        <w:rPr>
          <w:rStyle w:val="EndnoteReference"/>
        </w:rPr>
        <w:endnoteRef/>
      </w:r>
      <w:r>
        <w:rPr>
          <w:rStyle w:val="EndnoteReference"/>
        </w:rPr>
        <w:t>]</w:t>
      </w:r>
      <w:r>
        <w:rPr>
          <w:rFonts w:hint="eastAsia"/>
          <w:lang w:val="en-US" w:eastAsia="zh-CN"/>
        </w:rPr>
        <w:t xml:space="preserve"> </w:t>
      </w:r>
      <w:r>
        <w:rPr>
          <w:rFonts w:ascii="Calibri" w:eastAsia="宋体" w:hAnsi="Calibri" w:cs="Times New Roman" w:hint="eastAsia"/>
        </w:rPr>
        <w:t>新国风热潮下大学生文化自信培育的路径研究[J].黑龙江新闻网,2024.</w:t>
      </w:r>
    </w:p>
  </w:endnote>
  <w:endnote w:id="7">
    <w:p w14:paraId="47D50F15">
      <w:pPr>
        <w:pStyle w:val="EndnoteText"/>
        <w:snapToGrid w:val="0"/>
      </w:pPr>
      <w:r>
        <w:rPr>
          <w:rStyle w:val="EndnoteReference"/>
        </w:rPr>
        <w:t>[</w:t>
      </w:r>
      <w:r>
        <w:rPr>
          <w:rStyle w:val="EndnoteReference"/>
        </w:rPr>
        <w:endnoteRef/>
      </w:r>
      <w:r>
        <w:rPr>
          <w:rStyle w:val="EndnoteReference"/>
        </w:rPr>
        <w:t>]</w:t>
      </w:r>
      <w:r>
        <w:t xml:space="preserve"> </w:t>
      </w:r>
      <w:r>
        <w:rPr>
          <w:rFonts w:ascii="Calibri" w:eastAsia="宋体" w:hAnsi="Calibri" w:cs="Times New Roman" w:hint="eastAsia"/>
        </w:rPr>
        <w:t>王彦林.培育大学生文化自信</w:t>
      </w:r>
      <w:r>
        <w:rPr>
          <w:rFonts w:ascii="Calibri" w:eastAsia="宋体" w:hAnsi="Calibri" w:cs="Times New Roman" w:hint="eastAsia"/>
          <w:lang w:val="en-US" w:eastAsia="zh-CN"/>
        </w:rPr>
        <w:t>,</w:t>
      </w:r>
      <w:r>
        <w:rPr>
          <w:rFonts w:ascii="Calibri" w:eastAsia="宋体" w:hAnsi="Calibri" w:cs="Times New Roman" w:hint="eastAsia"/>
        </w:rPr>
        <w:t>凝聚新时代青春力量[N].邯郸日报,2024.</w:t>
      </w:r>
    </w:p>
  </w:endnote>
  <w:endnote w:id="8">
    <w:p w14:paraId="144AD485">
      <w:pPr>
        <w:rPr>
          <w:rFonts w:ascii="Calibri" w:eastAsia="宋体" w:hAnsi="Calibri" w:cs="Times New Roman" w:hint="eastAsia"/>
          <w:kern w:val="2"/>
          <w:sz w:val="21"/>
          <w:szCs w:val="24"/>
          <w:lang w:val="en-US" w:eastAsia="zh-CN" w:bidi="ar-SA"/>
        </w:rPr>
      </w:pPr>
      <w:r>
        <w:rPr>
          <w:rStyle w:val="EndnoteReference"/>
        </w:rPr>
        <w:t>[</w:t>
      </w:r>
      <w:r>
        <w:rPr>
          <w:rStyle w:val="EndnoteReference"/>
        </w:rPr>
        <w:endnoteRef/>
      </w:r>
      <w:r>
        <w:rPr>
          <w:rStyle w:val="EndnoteReference"/>
        </w:rPr>
        <w:t>]</w:t>
      </w:r>
      <w:r>
        <w:rPr>
          <w:rFonts w:hint="eastAsia"/>
          <w:lang w:val="en-US" w:eastAsia="zh-CN"/>
        </w:rPr>
        <w:t xml:space="preserve"> </w:t>
      </w:r>
      <w:r>
        <w:rPr>
          <w:rFonts w:ascii="Calibri" w:eastAsia="宋体" w:hAnsi="Calibri" w:cs="Times New Roman" w:hint="eastAsia"/>
          <w:kern w:val="2"/>
          <w:sz w:val="21"/>
          <w:szCs w:val="24"/>
          <w:lang w:val="en-US" w:eastAsia="zh-CN" w:bidi="ar-SA"/>
        </w:rPr>
        <w:t>郝炜.系统观念视域下高校文化育人研究[J/OL].系统科学学报,1-7[2026-04-01].</w:t>
      </w:r>
    </w:p>
    <w:p w14:paraId="4C3AE623">
      <w:pPr>
        <w:rPr>
          <w:rFonts w:ascii="Calibri" w:eastAsia="宋体" w:hAnsi="Calibri" w:cs="Times New Roman" w:hint="eastAsia"/>
        </w:rPr>
      </w:pPr>
      <w:r>
        <w:rPr>
          <w:rFonts w:ascii="Calibri" w:eastAsia="宋体" w:hAnsi="Calibri" w:cs="Times New Roman" w:hint="eastAsia"/>
          <w:kern w:val="2"/>
          <w:sz w:val="21"/>
          <w:szCs w:val="24"/>
          <w:lang w:val="en-US" w:eastAsia="zh-CN" w:bidi="ar-SA"/>
        </w:rPr>
        <w:t>https://l</w:t>
      </w:r>
      <w:r>
        <w:rPr>
          <w:rFonts w:ascii="Calibri" w:eastAsia="宋体" w:hAnsi="Calibri" w:cs="Times New Roman" w:hint="eastAsia"/>
        </w:rPr>
        <w:t>ink.c</w:t>
      </w:r>
      <w:r>
        <w:rPr>
          <w:rFonts w:ascii="Calibri" w:eastAsia="宋体" w:hAnsi="Calibri" w:cs="Times New Roman" w:hint="eastAsia"/>
          <w:kern w:val="2"/>
          <w:sz w:val="21"/>
          <w:szCs w:val="24"/>
          <w:lang w:val="en-US" w:eastAsia="zh-CN" w:bidi="ar-SA"/>
        </w:rPr>
        <w:t>nki.n</w:t>
      </w:r>
      <w:r>
        <w:rPr>
          <w:rFonts w:ascii="Calibri" w:eastAsia="宋体" w:hAnsi="Calibri" w:cs="Times New Roman" w:hint="eastAsia"/>
        </w:rPr>
        <w:t>et/urlid</w:t>
      </w:r>
      <w:r>
        <w:rPr>
          <w:rFonts w:ascii="Calibri" w:eastAsia="宋体" w:hAnsi="Calibri" w:cs="Times New Roman" w:hint="eastAsia"/>
          <w:kern w:val="2"/>
          <w:sz w:val="21"/>
          <w:szCs w:val="24"/>
          <w:lang w:val="en-US" w:eastAsia="zh-CN" w:bidi="ar-SA"/>
        </w:rPr>
        <w:t>/14.1333.N.20260324.1358.004.</w:t>
      </w:r>
    </w:p>
  </w:endnote>
  <w:endnote w:id="9">
    <w:p w14:paraId="6BCA000C">
      <w:r>
        <w:rPr>
          <w:rStyle w:val="EndnoteReference"/>
        </w:rPr>
        <w:t>[</w:t>
      </w:r>
      <w:r>
        <w:rPr>
          <w:rStyle w:val="EndnoteReference"/>
        </w:rPr>
        <w:endnoteRef/>
      </w:r>
      <w:r>
        <w:rPr>
          <w:rStyle w:val="EndnoteReference"/>
        </w:rPr>
        <w:t>]</w:t>
      </w:r>
      <w:r>
        <w:rPr>
          <w:rFonts w:hint="eastAsia"/>
          <w:lang w:val="en-US" w:eastAsia="zh-CN"/>
        </w:rPr>
        <w:t xml:space="preserve"> </w:t>
      </w:r>
      <w:hyperlink r:id="rId1" w:tgtFrame="https://ai.cnki.net/_blank" w:history="1">
        <w:r>
          <w:rPr>
            <w:rFonts w:ascii="Calibri" w:eastAsia="宋体" w:hAnsi="Calibri" w:cs="Times New Roman" w:hint="eastAsia"/>
          </w:rPr>
          <w:t>冯刚</w:t>
        </w:r>
      </w:hyperlink>
      <w:r>
        <w:rPr>
          <w:rFonts w:ascii="Calibri" w:eastAsia="宋体" w:hAnsi="Calibri" w:cs="Times New Roman" w:hint="eastAsia"/>
          <w:lang w:val="en-US" w:eastAsia="zh-CN"/>
        </w:rPr>
        <w:t>,</w:t>
      </w:r>
      <w:hyperlink r:id="rId2" w:tgtFrame="https://ai.cnki.net/_blank" w:history="1">
        <w:r>
          <w:rPr>
            <w:rFonts w:ascii="Calibri" w:eastAsia="宋体" w:hAnsi="Calibri" w:cs="Times New Roman" w:hint="eastAsia"/>
          </w:rPr>
          <w:t>刘文博</w:t>
        </w:r>
      </w:hyperlink>
      <w:r>
        <w:rPr>
          <w:rFonts w:ascii="Calibri" w:eastAsia="宋体" w:hAnsi="Calibri" w:cs="Times New Roman" w:hint="eastAsia"/>
          <w:lang w:val="en-US" w:eastAsia="zh-CN"/>
        </w:rPr>
        <w:t>.</w:t>
      </w:r>
      <w:r>
        <w:rPr>
          <w:rFonts w:ascii="Calibri" w:eastAsia="宋体" w:hAnsi="Calibri" w:cs="Times New Roman" w:hint="eastAsia"/>
        </w:rPr>
        <w:t>新时代加强大学生劳动教育的时代价值与实践路径[J]</w:t>
      </w:r>
      <w:r>
        <w:rPr>
          <w:rFonts w:ascii="Calibri" w:eastAsia="宋体" w:hAnsi="Calibri" w:cs="Times New Roman" w:hint="eastAsia"/>
          <w:lang w:val="en-US" w:eastAsia="zh-CN"/>
        </w:rPr>
        <w:t>.</w:t>
      </w:r>
      <w:hyperlink r:id="rId3" w:tgtFrame="https://ai.cnki.net/_blank" w:tooltip="中国高等教育" w:history="1">
        <w:r>
          <w:rPr>
            <w:rFonts w:ascii="Calibri" w:eastAsia="宋体" w:hAnsi="Calibri" w:cs="Times New Roman" w:hint="eastAsia"/>
            <w:lang w:val="en-US" w:eastAsia="zh-CN"/>
          </w:rPr>
          <w:t>中国高等教育</w:t>
        </w:r>
      </w:hyperlink>
      <w:r>
        <w:rPr>
          <w:rFonts w:ascii="Calibri" w:eastAsia="宋体" w:hAnsi="Calibri" w:cs="Times New Roman" w:hint="eastAsia"/>
          <w:lang w:val="en-US" w:eastAsia="zh-CN"/>
        </w:rPr>
        <w:t>,</w:t>
      </w:r>
      <w:hyperlink r:id="rId4" w:tgtFrame="https://ai.cnki.net/_blank" w:history="1">
        <w:r>
          <w:rPr>
            <w:rFonts w:ascii="Calibri" w:eastAsia="宋体" w:hAnsi="Calibri" w:cs="Times New Roman" w:hint="eastAsia"/>
            <w:lang w:val="en-US" w:eastAsia="zh-CN"/>
          </w:rPr>
          <w:t>2019. </w:t>
        </w:r>
      </w:hyperlink>
    </w:p>
  </w:endnote>
  <w:endnote w:id="10">
    <w:p w14:paraId="3E68FAAA">
      <w:pPr>
        <w:pStyle w:val="EndnoteText"/>
        <w:snapToGrid w:val="0"/>
      </w:pPr>
      <w:r>
        <w:rPr>
          <w:rStyle w:val="EndnoteReference"/>
        </w:rPr>
        <w:t>[</w:t>
      </w:r>
      <w:r>
        <w:rPr>
          <w:rStyle w:val="EndnoteReference"/>
        </w:rPr>
        <w:endnoteRef/>
      </w:r>
      <w:r>
        <w:rPr>
          <w:rStyle w:val="EndnoteReference"/>
        </w:rPr>
        <w:t>]</w:t>
      </w:r>
      <w:r>
        <w:t xml:space="preserve"> </w:t>
      </w:r>
      <w:r>
        <w:rPr>
          <w:rFonts w:ascii="Calibri" w:eastAsia="宋体" w:hAnsi="Calibri" w:cs="Times New Roman" w:hint="eastAsia"/>
          <w:kern w:val="2"/>
          <w:sz w:val="21"/>
          <w:szCs w:val="24"/>
          <w:lang w:val="en-US" w:eastAsia="zh-CN" w:bidi="ar-SA"/>
        </w:rPr>
        <w:t>王延丽.孝文化赋能高校思政教育工作的价值与路径研究[J].佳木斯大学社会科学学报,2025,43(04):162-165.</w:t>
      </w:r>
    </w:p>
  </w:endnote>
  <w:endnote w:id="11">
    <w:p w14:paraId="1736CC25">
      <w:pPr>
        <w:rPr>
          <w:rFonts w:ascii="Calibri" w:eastAsia="宋体" w:hAnsi="Calibri" w:cs="Times New Roman" w:hint="eastAsia"/>
        </w:rPr>
      </w:pPr>
      <w:r>
        <w:rPr>
          <w:rStyle w:val="EndnoteReference"/>
        </w:rPr>
        <w:t>[</w:t>
      </w:r>
      <w:r>
        <w:rPr>
          <w:rStyle w:val="EndnoteReference"/>
        </w:rPr>
        <w:endnoteRef/>
      </w:r>
      <w:r>
        <w:rPr>
          <w:rStyle w:val="EndnoteReference"/>
        </w:rPr>
        <w:t>]</w:t>
      </w:r>
      <w:r>
        <w:t xml:space="preserve"> </w:t>
      </w:r>
      <w:r>
        <w:rPr>
          <w:rFonts w:ascii="Calibri" w:eastAsia="宋体" w:hAnsi="Calibri" w:cs="Times New Roman" w:hint="eastAsia"/>
        </w:rPr>
        <w:t>付斌.新时代大学生文化自信培育研究[M].中国原子能出版社,2024.</w:t>
      </w:r>
    </w:p>
    <w:p w14:paraId="6B8D276C">
      <w:pPr>
        <w:keepNext w:val="0"/>
        <w:keepLines w:val="0"/>
        <w:widowControl/>
        <w:suppressLineNumbers w:val="0"/>
        <w:jc w:val="left"/>
        <w:rPr>
          <w:rFonts w:ascii="FZHTJW--GB1-0" w:eastAsia="FZHTJW--GB1-0" w:hAnsi="FZHTJW--GB1-0" w:cs="FZHTJW--GB1-0"/>
          <w:color w:val="000000"/>
          <w:kern w:val="0"/>
          <w:sz w:val="20"/>
          <w:szCs w:val="20"/>
          <w:lang w:val="en-US" w:eastAsia="zh-CN" w:bidi="ar"/>
        </w:rPr>
      </w:pPr>
    </w:p>
    <w:p w14:paraId="1DD68437">
      <w:pPr>
        <w:keepNext w:val="0"/>
        <w:keepLines w:val="0"/>
        <w:widowControl/>
        <w:suppressLineNumbers w:val="0"/>
        <w:jc w:val="left"/>
        <w:rPr>
          <w:rFonts w:ascii="FZHTJW--GB1-0" w:eastAsia="FZHTJW--GB1-0" w:hAnsi="FZHTJW--GB1-0" w:cs="FZHTJW--GB1-0"/>
          <w:color w:val="000000"/>
          <w:kern w:val="0"/>
          <w:sz w:val="20"/>
          <w:szCs w:val="20"/>
          <w:lang w:val="en-US" w:eastAsia="zh-CN" w:bidi="ar"/>
        </w:rPr>
      </w:pPr>
    </w:p>
    <w:p w14:paraId="700E0D12">
      <w:pPr>
        <w:keepNext w:val="0"/>
        <w:keepLines w:val="0"/>
        <w:pageBreakBefore w:val="0"/>
        <w:widowControl/>
        <w:suppressLineNumbers w:val="0"/>
        <w:kinsoku/>
        <w:wordWrap/>
        <w:overflowPunct/>
        <w:topLinePunct w:val="0"/>
        <w:bidi w:val="0"/>
        <w:adjustRightInd/>
        <w:spacing w:line="360" w:lineRule="auto"/>
        <w:jc w:val="left"/>
        <w:textAlignment w:val="auto"/>
        <w:rPr>
          <w:b/>
          <w:bCs/>
        </w:rPr>
      </w:pPr>
      <w:r>
        <w:rPr>
          <w:rFonts w:ascii="FZHTJW--GB1-0" w:eastAsia="FZHTJW--GB1-0" w:hAnsi="FZHTJW--GB1-0" w:cs="FZHTJW--GB1-0"/>
          <w:b/>
          <w:bCs/>
          <w:color w:val="000000"/>
          <w:kern w:val="0"/>
          <w:sz w:val="20"/>
          <w:szCs w:val="20"/>
          <w:lang w:val="en-US" w:eastAsia="zh-CN" w:bidi="ar"/>
        </w:rPr>
        <w:t xml:space="preserve">作者简介： </w:t>
      </w:r>
    </w:p>
    <w:p w14:paraId="0D285462">
      <w:pPr>
        <w:pStyle w:val="EndnoteText"/>
        <w:keepNext w:val="0"/>
        <w:keepLines w:val="0"/>
        <w:pageBreakBefore w:val="0"/>
        <w:kinsoku/>
        <w:wordWrap/>
        <w:overflowPunct/>
        <w:topLinePunct w:val="0"/>
        <w:bidi w:val="0"/>
        <w:adjustRightInd/>
        <w:snapToGrid w:val="0"/>
        <w:spacing w:line="360" w:lineRule="auto"/>
        <w:textAlignment w:val="auto"/>
        <w:rPr>
          <w:rFonts w:hint="eastAsia"/>
        </w:rPr>
      </w:pPr>
      <w:r>
        <w:rPr>
          <w:rFonts w:hint="eastAsia"/>
        </w:rPr>
        <w:t>郭丹，(1985-)，系本文</w:t>
      </w:r>
      <w:r>
        <w:rPr>
          <w:rFonts w:hint="eastAsia"/>
          <w:lang w:val="en-US" w:eastAsia="zh-CN"/>
        </w:rPr>
        <w:t>第一</w:t>
      </w:r>
      <w:r>
        <w:rPr>
          <w:rFonts w:hint="eastAsia"/>
        </w:rPr>
        <w:t>作者，女，河北石家庄人，河北工程大学讲师，硕士，</w:t>
      </w:r>
      <w:r>
        <w:rPr>
          <w:rFonts w:hint="eastAsia"/>
          <w:lang w:val="en-US" w:eastAsia="zh-CN"/>
        </w:rPr>
        <w:t>研究方向为学生思想政治教育</w:t>
      </w:r>
      <w:r>
        <w:rPr>
          <w:rFonts w:hint="eastAsia"/>
        </w:rPr>
        <w:t>。</w:t>
      </w:r>
    </w:p>
    <w:p w14:paraId="41B364FF">
      <w:pPr>
        <w:pStyle w:val="EndnoteText"/>
        <w:keepNext w:val="0"/>
        <w:keepLines w:val="0"/>
        <w:pageBreakBefore w:val="0"/>
        <w:kinsoku/>
        <w:wordWrap/>
        <w:overflowPunct/>
        <w:topLinePunct w:val="0"/>
        <w:bidi w:val="0"/>
        <w:adjustRightInd/>
        <w:snapToGrid w:val="0"/>
        <w:spacing w:line="360" w:lineRule="auto"/>
        <w:textAlignment w:val="auto"/>
        <w:rPr>
          <w:rFonts w:hint="eastAsia"/>
        </w:rPr>
      </w:pPr>
      <w:r>
        <w:rPr>
          <w:rFonts w:hint="eastAsia"/>
        </w:rPr>
        <w:t>贾晓朋(1986-)</w:t>
      </w:r>
      <w:r>
        <w:rPr>
          <w:rFonts w:hint="eastAsia"/>
          <w:lang w:eastAsia="zh-CN"/>
        </w:rPr>
        <w:t>，</w:t>
      </w:r>
      <w:r>
        <w:rPr>
          <w:rFonts w:hint="eastAsia"/>
        </w:rPr>
        <w:t>系本文</w:t>
      </w:r>
      <w:r>
        <w:rPr>
          <w:rFonts w:hint="eastAsia"/>
          <w:lang w:val="en-US" w:eastAsia="zh-CN"/>
        </w:rPr>
        <w:t>通讯作者</w:t>
      </w:r>
      <w:r>
        <w:rPr>
          <w:rFonts w:hint="eastAsia"/>
        </w:rPr>
        <w:t>，男，河北石家庄人，河北工程大学讲师，博士，研究方向为创新地理、</w:t>
      </w:r>
      <w:r>
        <w:rPr>
          <w:rFonts w:hint="eastAsia"/>
          <w:lang w:val="en-US" w:eastAsia="zh-CN"/>
        </w:rPr>
        <w:t>产业发展</w:t>
      </w:r>
      <w:r>
        <w:rPr>
          <w:rFonts w:hint="eastAsia"/>
        </w:rPr>
        <w:t>、文化地理研究。</w:t>
      </w:r>
    </w:p>
    <w:p w14:paraId="2C4334D5">
      <w:pPr>
        <w:pStyle w:val="EndnoteText"/>
        <w:keepNext w:val="0"/>
        <w:keepLines w:val="0"/>
        <w:pageBreakBefore w:val="0"/>
        <w:kinsoku/>
        <w:wordWrap/>
        <w:overflowPunct/>
        <w:topLinePunct w:val="0"/>
        <w:bidi w:val="0"/>
        <w:adjustRightInd/>
        <w:snapToGrid w:val="0"/>
        <w:spacing w:line="360" w:lineRule="auto"/>
        <w:textAlignment w:val="auto"/>
        <w:rPr>
          <w:rFonts w:eastAsiaTheme="minorEastAsia" w:hint="eastAsia"/>
          <w:lang w:eastAsia="zh-CN"/>
        </w:rPr>
      </w:pPr>
      <w:r>
        <w:rPr>
          <w:rFonts w:hint="eastAsia"/>
          <w:lang w:val="en-US" w:eastAsia="zh-CN"/>
        </w:rPr>
        <w:t>基金项目：邯郸市哲学社会规划课题“邯郸文化赋能视域下大学生文化自信培育的创新路径研究”， 课题号：</w:t>
      </w:r>
      <w:r>
        <w:rPr>
          <w:rFonts w:hint="eastAsia"/>
        </w:rPr>
        <w:t>Q2025285</w:t>
      </w:r>
      <w:r>
        <w:rPr>
          <w:rFonts w:hint="eastAsia"/>
          <w:lang w:eastAsia="zh-C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FZHTJW--GB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defaultTabStop w:val="420"/>
  <w:drawingGridVerticalSpacing w:val="156"/>
  <w:noPunctuationKerning/>
  <w:characterSpacingControl w:val="compressPunctuation"/>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82F23"/>
    <w:rsid w:val="03667508"/>
    <w:rsid w:val="08441894"/>
    <w:rsid w:val="09982F23"/>
    <w:rsid w:val="153F13EA"/>
    <w:rsid w:val="1A7D0A11"/>
    <w:rsid w:val="1B9C7BFB"/>
    <w:rsid w:val="1CAE252E"/>
    <w:rsid w:val="24F42832"/>
    <w:rsid w:val="28B110EB"/>
    <w:rsid w:val="33A02C9B"/>
    <w:rsid w:val="35294F6D"/>
    <w:rsid w:val="38786CAE"/>
    <w:rsid w:val="394548DD"/>
    <w:rsid w:val="3A2743CE"/>
    <w:rsid w:val="3FFE0D0A"/>
    <w:rsid w:val="4C6B3B0B"/>
    <w:rsid w:val="5BCF384A"/>
    <w:rsid w:val="653465EF"/>
    <w:rsid w:val="6BBD4800"/>
    <w:rsid w:val="6DAD4F9F"/>
    <w:rsid w:val="7CC309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qFormat="1"/>
    <w:lsdException w:name="endnote text" w:semiHidden="0" w:uiPriority="0" w:unhideWhenUsed="0" w:qFormat="1"/>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EndnoteText">
    <w:name w:val="endnote text"/>
    <w:basedOn w:val="Normal"/>
    <w:qFormat/>
    <w:pPr>
      <w:snapToGrid w:val="0"/>
      <w:jc w:val="left"/>
    </w:pPr>
  </w:style>
  <w:style w:type="paragraph" w:styleId="NormalWeb">
    <w:name w:val="Normal (Web)"/>
    <w:basedOn w:val="Normal"/>
    <w:qFormat/>
    <w:rPr>
      <w:sz w:val="24"/>
    </w:rPr>
  </w:style>
  <w:style w:type="character" w:styleId="Strong">
    <w:name w:val="Strong"/>
    <w:basedOn w:val="DefaultParagraphFont"/>
    <w:qFormat/>
    <w:rPr>
      <w:b/>
    </w:rPr>
  </w:style>
  <w:style w:type="character" w:styleId="EndnoteReference">
    <w:name w:val="endnote reference"/>
    <w:basedOn w:val="DefaultParagraphFont"/>
    <w:qFormat/>
    <w:rPr>
      <w:vertAlign w:val="superscript"/>
    </w:rPr>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endnotes" Target="end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_rels/endnotes.xml.rels><?xml version="1.0" encoding="utf-8" standalone="yes"?><Relationships xmlns="http://schemas.openxmlformats.org/package/2006/relationships"><Relationship Id="rId1" Type="http://schemas.openxmlformats.org/officeDocument/2006/relationships/hyperlink" Target="https://kns.cnki.net/kcms2/author/detail?v=4J3GFaKSuTP9hQHYtBxOwVb2SxXf6j5yDtcQIDGkvD9xqjLs5gmhFsWp8sCe6VUICEHVRuLBOMW10PPtIy9TNHWcfyi-IJG2y9FlPsU-fNo9LLsbgb8wLg==&amp;uniplatform=NZKPT&amp;language=CHS" TargetMode="External" /><Relationship Id="rId2" Type="http://schemas.openxmlformats.org/officeDocument/2006/relationships/hyperlink" Target="https://kns.cnki.net/kcms2/author/detail?v=4J3GFaKSuTP9hQHYtBxOwVb2SxXf6j5yyO_Kk84lPwPMmbK4BqpA8l9_LWMIhkS2BV2WW4_jfMHfsE5zf5ifeWOsDidk4RW93eqL4QQH_6-xk-3rZ8ySZL3wn0JWoRLg&amp;uniplatform=NZKPT&amp;language=CHS" TargetMode="External" /><Relationship Id="rId3" Type="http://schemas.openxmlformats.org/officeDocument/2006/relationships/hyperlink" Target="https://navi.cnki.net/knavi/detail?p=2P0aSQHFv_4z4ktHe7MlGkMRzpmPPY72T6u3sEDp-GLRruExLrGgDy6yNW0V7oyI7IWxkLFD8ZpqAit-o9ZCXdRzVUJ7JsADOXFBw8u-OpA=&amp;uniplatform=NZKPT" TargetMode="External" /><Relationship Id="rId4" Type="http://schemas.openxmlformats.org/officeDocument/2006/relationships/hyperlink" Target="https://navi.cnki.net/knavi/detail?p=2P0aSQHFv_4z4ktHe7MlGkMRzpmPPY72p_5SDLUilCxP7iJIi0CMsvYEViQOLjoa1P0SWkqZetPjnTHlJQADP-Lb3XeflxqDO_FoWhQQieAXjeIuWzgRJGMbbuEWqbYA&amp;uniplatform=NZKPT"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4067</Words>
  <Characters>4110</Characters>
  <Application>Microsoft Office Word</Application>
  <DocSecurity>0</DocSecurity>
  <Lines>0</Lines>
  <Paragraphs>0</Paragraphs>
  <ScaleCrop>false</ScaleCrop>
  <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轻鸢</dc:creator>
  <cp:lastModifiedBy>刚刚好</cp:lastModifiedBy>
  <cp:revision>1</cp:revision>
  <cp:lastPrinted>2026-04-02T06:59:00Z</cp:lastPrinted>
  <dcterms:created xsi:type="dcterms:W3CDTF">2025-12-10T05:20:00Z</dcterms:created>
  <dcterms:modified xsi:type="dcterms:W3CDTF">2026-10-26T09:02:16Z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0B114E2211FB4C028323288B368DCA6C_13</vt:lpwstr>
  </property>
  <property fmtid="{D5CDD505-2E9C-101B-9397-08002B2CF9AE}" pid="3" name="KSOProductBuildVer">
    <vt:lpwstr>2052-12.1.0.28802</vt:lpwstr>
  </property>
  <property fmtid="{D5CDD505-2E9C-101B-9397-08002B2CF9AE}" pid="4" name="KSOTemplateDocerSaveRecord">
    <vt:lpwstr>eyJoZGlkIjoiNDhjOTA0MzJlYmM0Y2M0YzAzYWI1ZTdkMWEzNjllNTQiLCJ1c2VySWQiOiIxODk4NjM4MDAifQ==</vt:lpwstr>
  </property>
</Properties>
</file>