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60313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近些年来学生心理健康工作越来越受到重视。根据有关的要求，推进全员育心，提高教师对学生心理行为异常的发现、早期干预的能力，使教师是学生心理问题的第一发现人。儿童正处在情绪迅速发展的阶段，心里活动大多表现在脸上、行动上，情绪的细微变化就是他们心理状态最真实的反映。教师们在实际的工作中也常常有这样的困境，一个平时活泼的孩子突然变得沉默寡言起来，温和的学生容易发脾气，临近考试的孩子反复说肚子疼，无论怎么讲道理、批评都不起作用，处理不好就会造成师生关系紧张。教师对学生的关心不能只是停留在表面，而应该有发现学生心理需求的眼睛，从零散的现象中看到学生真正的需</w:t>
      </w:r>
      <w:r>
        <w:rPr>
          <w:rFonts w:hint="eastAsia"/>
          <w:lang w:val="en-US" w:eastAsia="zh-CN"/>
        </w:rPr>
        <w:t>求。本</w:t>
      </w:r>
      <w:r>
        <w:rPr>
          <w:rFonts w:hint="eastAsia"/>
        </w:rPr>
        <w:t>文以日常情绪观察为切入点，给教师进行心理育人工作提供</w:t>
      </w:r>
      <w:r>
        <w:rPr>
          <w:rFonts w:hint="eastAsia"/>
          <w:lang w:val="en-US" w:eastAsia="zh-CN"/>
        </w:rPr>
        <w:t>参考</w:t>
      </w:r>
      <w:r>
        <w:rPr>
          <w:rFonts w:hint="eastAsia"/>
        </w:rPr>
        <w:t>。</w:t>
      </w:r>
    </w:p>
    <w:p w14:paraId="455A8D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一、学生情绪观察的育人价值与能力定位</w:t>
      </w:r>
    </w:p>
    <w:p w14:paraId="4A67FC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（一）情绪变化是小学生心理状态的直接外显信号</w:t>
      </w:r>
    </w:p>
    <w:p w14:paraId="262457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情绪是个人内心需要是否得到满足的一种自</w:t>
      </w:r>
      <w:r>
        <w:rPr>
          <w:rFonts w:hint="eastAsia"/>
          <w:lang w:eastAsia="zh-CN"/>
        </w:rPr>
        <w:t>然反</w:t>
      </w:r>
      <w:r>
        <w:rPr>
          <w:rFonts w:hint="eastAsia"/>
        </w:rPr>
        <w:t>应，和人的认识、行为有联系。低年级小学生尤其是小学低年级的学生情绪易外露、难掩饰、隐藏，高兴的、委屈的、紧张的、害怕的都能从脸上显露出来，用语气、动作、姿态表达出来。教师能够读懂学生的表情，就抓住了了解学生内心世界的钥匙。</w:t>
      </w:r>
    </w:p>
    <w:p w14:paraId="5EDF82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儿童心理问题的产生一般要经历一个过程，在学业明显下滑的同时，行为出现了异常的时候，情绪上一般会</w:t>
      </w:r>
      <w:r>
        <w:rPr>
          <w:rFonts w:hint="eastAsia"/>
          <w:lang w:eastAsia="zh-CN"/>
        </w:rPr>
        <w:t>有一</w:t>
      </w:r>
      <w:r>
        <w:rPr>
          <w:rFonts w:hint="eastAsia"/>
        </w:rPr>
        <w:t>些先兆。以一例三年级男孩为例，上课时一般都会和其他同学一起活动，后来连续几天都是独自一人坐着上课，低着头。只看作业、纪律是无法发现情绪变化的，从情绪变化着手，了解了之后得知，家里添了弟弟之后，他觉得父母对他的关注时间变少了，心里感到失落。这就意味着，对日常情绪加以留意，在问题刚刚萌芽的时候就能够快速察觉，进而给后续的理解和帮助留出足够的时间。</w:t>
      </w:r>
    </w:p>
    <w:p w14:paraId="188C45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（二）情绪观察是教师心理育人能力的基础环节</w:t>
      </w:r>
    </w:p>
    <w:p w14:paraId="2699E4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教师进行心理育人要具备各方面的能力，即了解学生的心理状况，回应学生的情绪波动，促进学生心理发展。对学生的心理状态进行识别是第一步，如果不能正确识别，后面回应、引导就会缺少方向。</w:t>
      </w:r>
    </w:p>
    <w:p w14:paraId="0ED316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情绪敏感性是反映个体情绪加工水平的重要指标，是人对自身、他人的情绪信号做出觉察、识别并作出反应的能力</w:t>
      </w:r>
      <w:r>
        <w:rPr>
          <w:rFonts w:hint="eastAsia"/>
          <w:vertAlign w:val="superscript"/>
        </w:rPr>
        <w:t>[1]</w:t>
      </w:r>
      <w:r>
        <w:rPr>
          <w:rFonts w:hint="eastAsia"/>
        </w:rPr>
        <w:t>。教师对学生的情绪感知越细，对学生的心理状况作出的判断就越接近事实。教师每天面对学生、观察学生，既能看到学生此时此刻所处的状态，又能记住学生的常态表现，还可以把学生与周围的同学进行比较。横向、纵向比较不能用测试来代替，学生在放松状态下所表现出来的感情更真实。观察学生情绪的目的是理解学生，也是提高教师回应能力以及师生关系的一种途径。</w:t>
      </w:r>
    </w:p>
    <w:p w14:paraId="6CE1DD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二、小学教师观察学生情绪的现实困境</w:t>
      </w:r>
    </w:p>
    <w:p w14:paraId="4DAD3D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（一）观察缺少固定支点，情绪信号容易被错过</w:t>
      </w:r>
    </w:p>
    <w:p w14:paraId="4DAE21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小学教师每天要面对大量的课堂教学、作业批改、班级管理、各种检查以及活动的组织工作，所以他们的注意力大多集中在教学进度以及学生的安全上，并没有太多的时间去注意学生的情绪。没有固定的观察时间、记录时间，全凭记忆，老师一般要等到学生在课堂上突然大哭、冲突或者成绩下滑的时候才注意到异样，这时问题已经发展了一段时间了。学生情绪信号</w:t>
      </w:r>
      <w:r>
        <w:rPr>
          <w:rFonts w:hint="eastAsia"/>
          <w:lang w:eastAsia="zh-CN"/>
        </w:rPr>
        <w:t>本</w:t>
      </w:r>
      <w:r>
        <w:rPr>
          <w:rFonts w:hint="eastAsia"/>
        </w:rPr>
        <w:t>身就比较微弱、短暂，学生躲避时的一眼，低垂的肩膀，声音变小的回答都会瞬间出现又消失。缺乏有意识的关注，这些信号很容易被忙碌的日常生活所覆盖，当教师回想起的时候，已经错过了最好的时机。</w:t>
      </w:r>
    </w:p>
    <w:p w14:paraId="1A1AAC5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（二）情绪归因出现偏差，心理信号被当作品行问题</w:t>
      </w:r>
    </w:p>
    <w:p w14:paraId="385650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许多教师没有系统掌握儿童心理发展的知识，常常从纪律、道德的角度来评判学生，把心理信号看成是行为问题。一考试就肚子疼、反复上厕所，都是由于紧张焦虑引发的身体反应，被当作装病；出手推同学可能是想加入游戏却不会表达，认为是故意捣乱；上课走神、做事拖拉的背后往往隐藏着内心的压力或者家庭的变化，因此被当做是懒惰。归因一出错，后面所有的应对方式都错了。把学生求助信号当作对抗的手段，用批评、惩罚的方式来回应，不但不能解决问题，反而会加深学生的紧张、退缩，使教师越来越沮丧。许多教师的苦恼就在此，越是使劲去管，效果越不好，却不知道问题到底出在哪里。</w:t>
      </w:r>
    </w:p>
    <w:p w14:paraId="48A1AA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（三）观察与回应彼此脱节，看见之后缺少跟进</w:t>
      </w:r>
    </w:p>
    <w:p w14:paraId="4552FE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有些教师可以发现学生的感情有异常，但是不知道接下来应该说什么、做什么，害怕说错话，也害怕触碰学生的隐私，于是就放一放。部分教师当时只是简单的安抚学生，没有做深入的调查和记录，导致学生情绪问题反复出现，没有得到根本的解决。观察、回应以及跟进缺少连续的链条，观察只停留在看到的地方，不能把情绪支持变成学生真正感受到的。情绪观察只有与回应相结合才能起到效果，必须加以持续的跟进。</w:t>
      </w:r>
    </w:p>
    <w:p w14:paraId="34B038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三、立足情绪观察提升心理育人能力的实践路径</w:t>
      </w:r>
    </w:p>
    <w:p w14:paraId="581B5D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（一）建立固定观察支点，让情绪信号被及时发现</w:t>
      </w:r>
    </w:p>
    <w:p w14:paraId="14EF36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教师在一天里选择三个固定的观察时间，分别是早读进入教室时、课间自由活动时、放学整理书包时，每个观察时间段都是五分钟。观察的重点就是三类信号，第一类是面部表情，看学生的眉头、眼神和嘴角是否放松；第二类是语言行为，听学生的说话语气、音量，看学生走路、坐立的姿态；第三类是同伴交往，看学生是否孤立，是否回避集体活动。</w:t>
      </w:r>
    </w:p>
    <w:p w14:paraId="52FE04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教师可以制作一张情绪观察记录表（如表</w:t>
      </w:r>
      <w:r>
        <w:rPr>
          <w:rFonts w:hint="eastAsia"/>
          <w:lang w:eastAsia="zh-CN"/>
        </w:rPr>
        <w:t>1</w:t>
      </w:r>
      <w:r>
        <w:rPr>
          <w:rFonts w:hint="eastAsia"/>
          <w:lang w:val="en-US" w:eastAsia="zh-CN"/>
        </w:rPr>
        <w:t>），设</w:t>
      </w:r>
      <w:r>
        <w:rPr>
          <w:rFonts w:hint="eastAsia"/>
          <w:lang w:eastAsia="zh-CN"/>
        </w:rPr>
        <w:t>置</w:t>
      </w:r>
      <w:r>
        <w:rPr>
          <w:rFonts w:hint="eastAsia"/>
        </w:rPr>
        <w:t>观察时间、学生姓名、情绪表现、平时与现在是否一致、后续怎样处理这五个项目，一条记录只记几句话，重点在于坚持。教师应该为每一个学生建立平常的印象，比较的时候多做两种比较，一种是与学生平时比，另一种是与同班同学比。学生自身的变化，比单方面地表现更有意义。</w:t>
      </w:r>
    </w:p>
    <w:p w14:paraId="136C5B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eastAsiaTheme="minorEastAsia" w:hint="default"/>
          <w:lang w:val="en-US" w:eastAsia="zh-CN"/>
        </w:rPr>
      </w:pPr>
      <w:r>
        <w:rPr>
          <w:rFonts w:hint="eastAsia"/>
          <w:lang w:val="en-US" w:eastAsia="zh-CN"/>
        </w:rPr>
        <w:t>表1</w:t>
      </w:r>
      <w:r>
        <w:rPr>
          <w:rFonts w:hint="eastAsia"/>
        </w:rPr>
        <w:t>情绪观察记录表</w:t>
      </w:r>
      <w:r>
        <w:rPr>
          <w:rFonts w:hint="eastAsia"/>
          <w:lang w:val="en-US" w:eastAsia="zh-CN"/>
        </w:rPr>
        <w:t>登记示例</w:t>
      </w:r>
    </w:p>
    <w:tbl>
      <w:tblPr>
        <w:tblStyle w:val="TableGrid"/>
        <w:tblW w:w="85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0" w:type="dxa"/>
          <w:left w:w="108" w:type="dxa"/>
          <w:bottom w:w="0" w:type="dxa"/>
          <w:right w:w="108" w:type="dxa"/>
        </w:tblCellMar>
      </w:tblPr>
      <w:tblGrid>
        <w:gridCol w:w="1701"/>
        <w:gridCol w:w="1701"/>
        <w:gridCol w:w="1701"/>
        <w:gridCol w:w="1701"/>
        <w:gridCol w:w="1701"/>
      </w:tblGrid>
      <w:tr w14:paraId="0EAAD647">
        <w:tblPrEx>
          <w:tblW w:w="85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top w:w="0" w:type="dxa"/>
            <w:left w:w="108" w:type="dxa"/>
            <w:bottom w:w="0" w:type="dxa"/>
            <w:right w:w="108" w:type="dxa"/>
          </w:tblCellMar>
        </w:tblPrEx>
        <w:tc>
          <w:tcPr>
            <w:tcW w:w="1701" w:type="dxa"/>
            <w:shd w:val="clear" w:color="auto" w:fill="DBE3F4" w:themeFill="accent1" w:themeFillTint="32"/>
            <w:vAlign w:val="center"/>
          </w:tcPr>
          <w:p w14:paraId="3CCA48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观察时间</w:t>
            </w:r>
          </w:p>
        </w:tc>
        <w:tc>
          <w:tcPr>
            <w:tcW w:w="1701" w:type="dxa"/>
            <w:shd w:val="clear" w:color="auto" w:fill="DBE3F4" w:themeFill="accent1" w:themeFillTint="32"/>
            <w:vAlign w:val="center"/>
          </w:tcPr>
          <w:p w14:paraId="32F26E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学生姓名</w:t>
            </w:r>
          </w:p>
        </w:tc>
        <w:tc>
          <w:tcPr>
            <w:tcW w:w="1701" w:type="dxa"/>
            <w:shd w:val="clear" w:color="auto" w:fill="DBE3F4" w:themeFill="accent1" w:themeFillTint="32"/>
            <w:vAlign w:val="center"/>
          </w:tcPr>
          <w:p w14:paraId="6E454D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情绪表现</w:t>
            </w:r>
          </w:p>
        </w:tc>
        <w:tc>
          <w:tcPr>
            <w:tcW w:w="1701" w:type="dxa"/>
            <w:shd w:val="clear" w:color="auto" w:fill="DBE3F4" w:themeFill="accent1" w:themeFillTint="32"/>
            <w:vAlign w:val="center"/>
          </w:tcPr>
          <w:p w14:paraId="44703C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与平时是否不同</w:t>
            </w:r>
          </w:p>
        </w:tc>
        <w:tc>
          <w:tcPr>
            <w:tcW w:w="1701" w:type="dxa"/>
            <w:shd w:val="clear" w:color="auto" w:fill="DBE3F4" w:themeFill="accent1" w:themeFillTint="32"/>
            <w:vAlign w:val="center"/>
          </w:tcPr>
          <w:p w14:paraId="7D2DE5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lang w:val="en-US" w:eastAsia="zh-CN"/>
              </w:rPr>
            </w:pPr>
            <w:r>
              <w:rPr>
                <w:rFonts w:hint="eastAsia"/>
                <w:lang w:val="en-US" w:eastAsia="zh-CN"/>
              </w:rPr>
              <w:t>后续处理</w:t>
            </w:r>
          </w:p>
        </w:tc>
      </w:tr>
      <w:tr w14:paraId="13F6C2D7">
        <w:tblPrEx>
          <w:tblW w:w="8505" w:type="dxa"/>
          <w:tblInd w:w="0" w:type="dxa"/>
          <w:shd w:val="clear" w:color="auto" w:fill="FFFFFF" w:themeFill="background1"/>
          <w:tblCellMar>
            <w:top w:w="0" w:type="dxa"/>
            <w:left w:w="108" w:type="dxa"/>
            <w:bottom w:w="0" w:type="dxa"/>
            <w:right w:w="108" w:type="dxa"/>
          </w:tblCellMar>
        </w:tblPrEx>
        <w:tc>
          <w:tcPr>
            <w:tcW w:w="1701" w:type="dxa"/>
            <w:shd w:val="clear" w:color="auto" w:fill="FFFFFF" w:themeFill="background1"/>
            <w:vAlign w:val="center"/>
          </w:tcPr>
          <w:p w14:paraId="128483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10.20课间</w:t>
            </w:r>
          </w:p>
        </w:tc>
        <w:tc>
          <w:tcPr>
            <w:tcW w:w="1701" w:type="dxa"/>
            <w:shd w:val="clear" w:color="auto" w:fill="FFFFFF" w:themeFill="background1"/>
            <w:vAlign w:val="center"/>
          </w:tcPr>
          <w:p w14:paraId="0CA384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学生甲</w:t>
            </w:r>
          </w:p>
        </w:tc>
        <w:tc>
          <w:tcPr>
            <w:tcW w:w="1701" w:type="dxa"/>
            <w:shd w:val="clear" w:color="auto" w:fill="FFFFFF" w:themeFill="background1"/>
            <w:vAlign w:val="center"/>
          </w:tcPr>
          <w:p w14:paraId="2ADD9A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低头独坐，不愿参与游戏</w:t>
            </w:r>
          </w:p>
        </w:tc>
        <w:tc>
          <w:tcPr>
            <w:tcW w:w="1701" w:type="dxa"/>
            <w:shd w:val="clear" w:color="auto" w:fill="FFFFFF" w:themeFill="background1"/>
            <w:vAlign w:val="center"/>
          </w:tcPr>
          <w:p w14:paraId="3EA0A3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是，平日活泼</w:t>
            </w:r>
          </w:p>
        </w:tc>
        <w:tc>
          <w:tcPr>
            <w:tcW w:w="1701" w:type="dxa"/>
            <w:shd w:val="clear" w:color="auto" w:fill="FFFFFF" w:themeFill="background1"/>
            <w:vAlign w:val="center"/>
          </w:tcPr>
          <w:p w14:paraId="0FDCD6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询问，引导表达感受</w:t>
            </w:r>
          </w:p>
        </w:tc>
      </w:tr>
      <w:tr w14:paraId="660C98C6">
        <w:tblPrEx>
          <w:tblW w:w="8505" w:type="dxa"/>
          <w:tblInd w:w="0" w:type="dxa"/>
          <w:shd w:val="clear" w:color="auto" w:fill="FFFFFF" w:themeFill="background1"/>
          <w:tblCellMar>
            <w:top w:w="0" w:type="dxa"/>
            <w:left w:w="108" w:type="dxa"/>
            <w:bottom w:w="0" w:type="dxa"/>
            <w:right w:w="108" w:type="dxa"/>
          </w:tblCellMar>
        </w:tblPrEx>
        <w:tc>
          <w:tcPr>
            <w:tcW w:w="1701" w:type="dxa"/>
            <w:shd w:val="clear" w:color="auto" w:fill="FFFFFF" w:themeFill="background1"/>
            <w:vAlign w:val="center"/>
          </w:tcPr>
          <w:p w14:paraId="02B3B1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10.20数学课</w:t>
            </w:r>
          </w:p>
        </w:tc>
        <w:tc>
          <w:tcPr>
            <w:tcW w:w="1701" w:type="dxa"/>
            <w:shd w:val="clear" w:color="auto" w:fill="FFFFFF" w:themeFill="background1"/>
            <w:vAlign w:val="center"/>
          </w:tcPr>
          <w:p w14:paraId="40FF46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学生乙</w:t>
            </w:r>
          </w:p>
        </w:tc>
        <w:tc>
          <w:tcPr>
            <w:tcW w:w="1701" w:type="dxa"/>
            <w:shd w:val="clear" w:color="auto" w:fill="FFFFFF" w:themeFill="background1"/>
            <w:vAlign w:val="center"/>
          </w:tcPr>
          <w:p w14:paraId="4E5134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坐立不安，多次皱眉发呆</w:t>
            </w:r>
          </w:p>
        </w:tc>
        <w:tc>
          <w:tcPr>
            <w:tcW w:w="1701" w:type="dxa"/>
            <w:shd w:val="clear" w:color="auto" w:fill="FFFFFF" w:themeFill="background1"/>
            <w:vAlign w:val="center"/>
          </w:tcPr>
          <w:p w14:paraId="5216F5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否，偶有走神</w:t>
            </w:r>
          </w:p>
        </w:tc>
        <w:tc>
          <w:tcPr>
            <w:tcW w:w="1701" w:type="dxa"/>
            <w:shd w:val="clear" w:color="auto" w:fill="FFFFFF" w:themeFill="background1"/>
            <w:vAlign w:val="center"/>
          </w:tcPr>
          <w:p w14:paraId="627C8C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课下简短沟通学习压力</w:t>
            </w:r>
          </w:p>
        </w:tc>
      </w:tr>
      <w:tr w14:paraId="572593AE">
        <w:tblPrEx>
          <w:tblW w:w="8505" w:type="dxa"/>
          <w:tblInd w:w="0" w:type="dxa"/>
          <w:shd w:val="clear" w:color="auto" w:fill="FFFFFF" w:themeFill="background1"/>
          <w:tblCellMar>
            <w:top w:w="0" w:type="dxa"/>
            <w:left w:w="108" w:type="dxa"/>
            <w:bottom w:w="0" w:type="dxa"/>
            <w:right w:w="108" w:type="dxa"/>
          </w:tblCellMar>
        </w:tblPrEx>
        <w:tc>
          <w:tcPr>
            <w:tcW w:w="1701" w:type="dxa"/>
            <w:shd w:val="clear" w:color="auto" w:fill="FFFFFF" w:themeFill="background1"/>
            <w:vAlign w:val="center"/>
          </w:tcPr>
          <w:p w14:paraId="2907DA1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w:t>
            </w:r>
          </w:p>
        </w:tc>
        <w:tc>
          <w:tcPr>
            <w:tcW w:w="1701" w:type="dxa"/>
            <w:shd w:val="clear" w:color="auto" w:fill="FFFFFF" w:themeFill="background1"/>
            <w:vAlign w:val="center"/>
          </w:tcPr>
          <w:p w14:paraId="1B8D0E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w:t>
            </w:r>
          </w:p>
        </w:tc>
        <w:tc>
          <w:tcPr>
            <w:tcW w:w="1701" w:type="dxa"/>
            <w:shd w:val="clear" w:color="auto" w:fill="FFFFFF" w:themeFill="background1"/>
            <w:vAlign w:val="center"/>
          </w:tcPr>
          <w:p w14:paraId="0012884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w:t>
            </w:r>
          </w:p>
        </w:tc>
        <w:tc>
          <w:tcPr>
            <w:tcW w:w="1701" w:type="dxa"/>
            <w:shd w:val="clear" w:color="auto" w:fill="FFFFFF" w:themeFill="background1"/>
            <w:vAlign w:val="center"/>
          </w:tcPr>
          <w:p w14:paraId="10589F3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w:t>
            </w:r>
          </w:p>
        </w:tc>
        <w:tc>
          <w:tcPr>
            <w:tcW w:w="1701" w:type="dxa"/>
            <w:shd w:val="clear" w:color="auto" w:fill="FFFFFF" w:themeFill="background1"/>
            <w:vAlign w:val="center"/>
          </w:tcPr>
          <w:p w14:paraId="7097ED4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w:t>
            </w:r>
          </w:p>
        </w:tc>
      </w:tr>
    </w:tbl>
    <w:p w14:paraId="4990FB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（二）学会情绪成因解读，让情绪信号被准确理解</w:t>
      </w:r>
    </w:p>
    <w:p w14:paraId="390276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学生情绪出现之后教师不能急于下结论，应该用三个尺度来评价。第一看持续时间，看此情绪是否只是偶尔发生，还是连续数日存在；第二看情境范围，看情绪是否只出现在某件事情上，还是在很多情境下都有发生；第三看功能影响，看是否干扰了学生的饮食、睡眠、学习以及与同伴的关系。例如一听到听写就咬铅笔、手心出汗，多属于学业失败的焦虑；被同学碰一下就生气的，大都是同伴关系出了问题；常说自己不会画画、不交作业，一般是害怕批评与比较。还可以让学生在脸谱上指认，也可以给0-10的温度计打分。低年级学生不能用“我很焦虑”的</w:t>
      </w:r>
      <w:r>
        <w:rPr>
          <w:rFonts w:hint="eastAsia"/>
          <w:lang w:eastAsia="zh-CN"/>
        </w:rPr>
        <w:t>语言</w:t>
      </w:r>
      <w:r>
        <w:rPr>
          <w:rFonts w:hint="eastAsia"/>
        </w:rPr>
        <w:t>表达出来</w:t>
      </w:r>
      <w:r>
        <w:rPr>
          <w:rFonts w:hint="eastAsia"/>
          <w:lang w:eastAsia="zh-CN"/>
        </w:rPr>
        <w:t>，</w:t>
      </w:r>
      <w:r>
        <w:rPr>
          <w:rFonts w:hint="eastAsia"/>
        </w:rPr>
        <w:t>但是可以用脸谱来表达心里有一块石头压着，或者肚子很乱。对于持续加重、不合常理的信号要马上和心理老师、校医、家长联系，不能自己做出判断。</w:t>
      </w:r>
    </w:p>
    <w:p w14:paraId="26AE6B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（三）形成观察回应闭环，让情绪需要被有效承接</w:t>
      </w:r>
    </w:p>
    <w:p w14:paraId="0F1619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观察的价值在于回应。学生出现任何问题的行为的时候</w:t>
      </w:r>
      <w:bookmarkStart w:id="0" w:name="_GoBack"/>
      <w:bookmarkEnd w:id="0"/>
      <w:r>
        <w:rPr>
          <w:rFonts w:hint="eastAsia"/>
        </w:rPr>
        <w:t>，教师应该首先通过共情式的语言来回应学生的情绪，使学生感觉到老师理解他，然后引导学生反思行为</w:t>
      </w:r>
      <w:r>
        <w:rPr>
          <w:rFonts w:hint="eastAsia"/>
          <w:vertAlign w:val="superscript"/>
        </w:rPr>
        <w:t>[2]</w:t>
      </w:r>
      <w:r>
        <w:rPr>
          <w:rFonts w:hint="eastAsia"/>
        </w:rPr>
        <w:t>。教师可以先描述情绪，比如对学生说“你现在是委屈的”，然后用简短的提问方式让学生发表意见，例如问“你愿意讲讲事情的经过吗”，不能立即做出判断，也不能立即讲道理。学生情绪稳定下来之后，教师再同学生一起面对事情，一起商量解决问题的办法。学生只有感受到老师的情感支持之后才会接受老师的引导。回应之后教师还要做一些简单的跟进工作，当天或者第二天留意学生的情绪变化，记入观察记录表，对学生持续关注的要继续观察</w:t>
      </w:r>
      <w:r>
        <w:rPr>
          <w:rFonts w:hint="eastAsia"/>
          <w:vertAlign w:val="superscript"/>
        </w:rPr>
        <w:t>[3]</w:t>
      </w:r>
      <w:r>
        <w:rPr>
          <w:rFonts w:hint="eastAsia"/>
        </w:rPr>
        <w:t>。因此观察、回应和跟进三者形成了一条完整的环</w:t>
      </w:r>
      <w:r>
        <w:rPr>
          <w:rFonts w:hint="eastAsia"/>
          <w:lang w:val="en-US" w:eastAsia="zh-CN"/>
        </w:rPr>
        <w:t>。</w:t>
      </w:r>
    </w:p>
    <w:p w14:paraId="3187A6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（四）纳入校本教研日常，让观察能力持续生长</w:t>
      </w:r>
    </w:p>
    <w:p w14:paraId="3F1A467D">
      <w:r>
        <w:rPr>
          <w:rFonts w:hint="eastAsia"/>
        </w:rPr>
        <w:t>学生情绪观察能力的提升不是一两次的集中讲座所能实现的，在日常教研活动中反复训练的效果更好。学校可以在每周教研活动的时间中设十分钟左右的情绪案例小会，以教师轮流进行的方式分享本周自己观察到的某一位学生情绪的片段，一起分析该情绪背后的原因并做出回应。学校可以将情绪观察记录和个案研讨结合起来，心理老师给予专业指导，促使教师理解学生行为背后的内心需求。</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1385C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2026-10-26T07:08:29Z</dcterms:created>
  <dcterms:modified xsi:type="dcterms:W3CDTF">2026-10-26T07:08:32Z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BAD9A01FF08949EBA05CD5465454C92B_12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