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55D83AE">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ascii="宋体" w:eastAsia="宋体" w:hAnsi="宋体" w:cs="宋体" w:hint="eastAsia"/>
        </w:rPr>
      </w:pPr>
      <w:r>
        <w:rPr>
          <w:rFonts w:ascii="宋体" w:eastAsia="宋体" w:hAnsi="宋体" w:cs="宋体" w:hint="eastAsia"/>
        </w:rPr>
        <w:t>小学体育田径大单元分层教学研究方案</w:t>
      </w:r>
    </w:p>
    <w:p w14:paraId="3254217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p>
    <w:p w14:paraId="3799963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根据义务教育体育与健康课程标准（2022年版），小学田径教学要立足学生的身体素质、技术水平、兴趣爱好存在的</w:t>
      </w:r>
      <w:bookmarkStart w:id="0" w:name="_GoBack"/>
      <w:bookmarkEnd w:id="0"/>
      <w:r>
        <w:rPr>
          <w:rFonts w:ascii="宋体" w:eastAsia="宋体" w:hAnsi="宋体" w:cs="宋体" w:hint="eastAsia"/>
          <w:lang w:val="en-US" w:eastAsia="zh-CN"/>
        </w:rPr>
        <w:t>差异，做好教会、勤练、常赛一体化的要求。本方案以目标分层、任务分层、评价分层为主线，创建动态分层标准和田径大单元任务链模型，融合游戏化、跨学科元素创建“基础、提高、拓展”三级递进式大单元任务链，试图冲破传统田径课堂重技术轻兴趣的桎梏，让技术的学习同核心素养培养一起发展。本方案在选择青树嘴镇中心小学3-4年级学生开展准实验研究的基础上，用前测、后测比较法和课堂观察、访谈法来评价方案的效果，归纳出分层设计过程中出现的问题及改进措施，给一线教师提供可以参考的分层设计操作方案。</w:t>
      </w:r>
    </w:p>
    <w:p w14:paraId="2E5D70F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一、研究思路与总体框架</w:t>
      </w:r>
    </w:p>
    <w:p w14:paraId="1A3E4FD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（一）研究主线：目标分层—任务分层—评价分层</w:t>
      </w:r>
    </w:p>
    <w:p w14:paraId="6240243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本方案以目标分层、任务分层、评价分层三者合一为思路，三个环节环环相扣，互相支撑。目标分层给田径大单元划分出基础、提高和拓展三个层次的达标标准，任务分层按照目标设计出层次化的练习内容，评价分层依靠过程性数据评价任务成果并反向修正目标，三者一起构成了田径分层教学的骨架，保证田径分层教学从目标制定到任务落实再到反馈调整都是一条线贯通的，防止各个环节相互脱离。</w:t>
      </w:r>
    </w:p>
    <w:p w14:paraId="7970B3B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（二）总体实施路径</w:t>
      </w:r>
    </w:p>
    <w:p w14:paraId="068225D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方案采取“测评定层、目标定标、任务递进、赛事贯通、评价调整”的推进方式，先用多种测评对学生进行动态分层，再根据层次确定不同的目标，开发三级任务链，用跨学科分层赛事贯穿学练赛环节，依靠过程性评价动态调整，最后用准实验研究检验效果，并形成推广范式。各个环节互相配合、层层推进，就形成了田径分层教学实施的一条完整的链条。</w:t>
      </w:r>
    </w:p>
    <w:p w14:paraId="7BDDD75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二、目标分层：田径大单元分层目标的构建</w:t>
      </w:r>
    </w:p>
    <w:p w14:paraId="07AD7E4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（一）三级递进目标的确立</w:t>
      </w:r>
    </w:p>
    <w:p w14:paraId="59C0270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课题组以跑、跳、投等田径项目为对象，将大单元学习目标分解成基础、提高和拓展三个层次。基础层目标就是各个项目基础动作的正确动作表象的形成，基础层目标指向学生对技术组合和情境的运用，提高层目标指向学生动作的迁移、衔接，拓展层目标指向学生创新实践以及综合素养的提升。具体内容如下：</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
      <w:tblGrid>
        <w:gridCol w:w="547"/>
        <w:gridCol w:w="3137"/>
        <w:gridCol w:w="2431"/>
        <w:gridCol w:w="2407"/>
      </w:tblGrid>
      <w:tr w14:paraId="336CD4AE">
        <w:tblPrEx>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Ex>
        <w:trPr>
          <w:trHeight w:hRule="auto" w:val="0"/>
          <w:jc w:val="center"/>
        </w:trPr>
        <w:tc>
          <w:tcPr>
            <w:tcW w:w="0" w:type="auto"/>
            <w:shd w:val="clear" w:color="auto" w:fill="auto"/>
            <w:tcMar>
              <w:top w:w="120" w:type="dxa"/>
              <w:left w:w="120" w:type="dxa"/>
              <w:bottom w:w="120" w:type="dxa"/>
              <w:right w:w="120" w:type="dxa"/>
            </w:tcMar>
            <w:vAlign w:val="center"/>
          </w:tcPr>
          <w:p w14:paraId="013BE785">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层级</w:t>
            </w:r>
          </w:p>
        </w:tc>
        <w:tc>
          <w:tcPr>
            <w:tcW w:w="3137" w:type="dxa"/>
            <w:shd w:val="clear" w:color="auto" w:fill="auto"/>
            <w:tcMar>
              <w:top w:w="120" w:type="dxa"/>
              <w:left w:w="120" w:type="dxa"/>
              <w:bottom w:w="120" w:type="dxa"/>
              <w:right w:w="120" w:type="dxa"/>
            </w:tcMar>
            <w:vAlign w:val="center"/>
          </w:tcPr>
          <w:p w14:paraId="37F29B4F">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短跑（50米跑）目标</w:t>
            </w:r>
          </w:p>
        </w:tc>
        <w:tc>
          <w:tcPr>
            <w:tcW w:w="2431" w:type="dxa"/>
            <w:shd w:val="clear" w:color="auto" w:fill="auto"/>
            <w:tcMar>
              <w:top w:w="120" w:type="dxa"/>
              <w:left w:w="120" w:type="dxa"/>
              <w:bottom w:w="120" w:type="dxa"/>
              <w:right w:w="120" w:type="dxa"/>
            </w:tcMar>
            <w:vAlign w:val="center"/>
          </w:tcPr>
          <w:p w14:paraId="52C7A4EA">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立定跳远目标</w:t>
            </w:r>
          </w:p>
        </w:tc>
        <w:tc>
          <w:tcPr>
            <w:tcW w:w="2407" w:type="dxa"/>
            <w:shd w:val="clear" w:color="auto" w:fill="auto"/>
            <w:tcMar>
              <w:top w:w="120" w:type="dxa"/>
              <w:left w:w="120" w:type="dxa"/>
              <w:bottom w:w="120" w:type="dxa"/>
              <w:right w:w="120" w:type="dxa"/>
            </w:tcMar>
            <w:vAlign w:val="center"/>
          </w:tcPr>
          <w:p w14:paraId="1E9592F8">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沙包投掷目标</w:t>
            </w:r>
          </w:p>
        </w:tc>
      </w:tr>
      <w:tr w14:paraId="6549A2EF">
        <w:tblPrEx>
          <w:tblW w:w="8522" w:type="dxa"/>
          <w:jc w:val="center"/>
          <w:shd w:val="clear" w:color="auto" w:fill="auto"/>
          <w:tblCellMar>
            <w:top w:w="15" w:type="dxa"/>
            <w:left w:w="15" w:type="dxa"/>
            <w:bottom w:w="15" w:type="dxa"/>
            <w:right w:w="15" w:type="dxa"/>
          </w:tblCellMar>
        </w:tblPrEx>
        <w:trPr>
          <w:trHeight w:hRule="auto" w:val="0"/>
          <w:jc w:val="center"/>
        </w:trPr>
        <w:tc>
          <w:tcPr>
            <w:tcW w:w="0" w:type="auto"/>
            <w:shd w:val="clear" w:color="auto" w:fill="auto"/>
            <w:tcMar>
              <w:top w:w="120" w:type="dxa"/>
              <w:left w:w="120" w:type="dxa"/>
              <w:bottom w:w="120" w:type="dxa"/>
              <w:right w:w="120" w:type="dxa"/>
            </w:tcMar>
            <w:vAlign w:val="center"/>
          </w:tcPr>
          <w:p w14:paraId="54B4CEDC">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基础层</w:t>
            </w:r>
          </w:p>
        </w:tc>
        <w:tc>
          <w:tcPr>
            <w:tcW w:w="3137" w:type="dxa"/>
            <w:shd w:val="clear" w:color="auto" w:fill="auto"/>
            <w:tcMar>
              <w:top w:w="120" w:type="dxa"/>
              <w:left w:w="120" w:type="dxa"/>
              <w:bottom w:w="120" w:type="dxa"/>
              <w:right w:w="120" w:type="dxa"/>
            </w:tcMar>
            <w:vAlign w:val="center"/>
          </w:tcPr>
          <w:p w14:paraId="25585B05">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能够做出正确的站立式起跑动作，摆臂方向与蹬地动作相互配合，全程可以完整跑完 50 米距离，无明显动作变形</w:t>
            </w:r>
          </w:p>
        </w:tc>
        <w:tc>
          <w:tcPr>
            <w:tcW w:w="2431" w:type="dxa"/>
            <w:shd w:val="clear" w:color="auto" w:fill="auto"/>
            <w:tcMar>
              <w:top w:w="120" w:type="dxa"/>
              <w:left w:w="120" w:type="dxa"/>
              <w:bottom w:w="120" w:type="dxa"/>
              <w:right w:w="120" w:type="dxa"/>
            </w:tcMar>
            <w:vAlign w:val="center"/>
          </w:tcPr>
          <w:p w14:paraId="03A3A64A">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掌握预摆、蹬伸、落地的基本顺序，落地时做到屈膝缓冲，能够跳出≥110 厘米距离</w:t>
            </w:r>
          </w:p>
        </w:tc>
        <w:tc>
          <w:tcPr>
            <w:tcW w:w="2407" w:type="dxa"/>
            <w:shd w:val="clear" w:color="auto" w:fill="auto"/>
            <w:tcMar>
              <w:top w:w="120" w:type="dxa"/>
              <w:left w:w="120" w:type="dxa"/>
              <w:bottom w:w="120" w:type="dxa"/>
              <w:right w:w="120" w:type="dxa"/>
            </w:tcMar>
            <w:vAlign w:val="center"/>
          </w:tcPr>
          <w:p w14:paraId="3B138EEF">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掌握转体挥臂的基础发力顺序，能够将沙包向前投出，投掷距离≥6 米</w:t>
            </w:r>
          </w:p>
        </w:tc>
      </w:tr>
      <w:tr w14:paraId="73FF5CBA">
        <w:tblPrEx>
          <w:tblW w:w="8522" w:type="dxa"/>
          <w:jc w:val="center"/>
          <w:shd w:val="clear" w:color="auto" w:fill="auto"/>
          <w:tblCellMar>
            <w:top w:w="15" w:type="dxa"/>
            <w:left w:w="15" w:type="dxa"/>
            <w:bottom w:w="15" w:type="dxa"/>
            <w:right w:w="15" w:type="dxa"/>
          </w:tblCellMar>
        </w:tblPrEx>
        <w:trPr>
          <w:trHeight w:hRule="auto" w:val="0"/>
          <w:jc w:val="center"/>
        </w:trPr>
        <w:tc>
          <w:tcPr>
            <w:tcW w:w="0" w:type="auto"/>
            <w:shd w:val="clear" w:color="auto" w:fill="auto"/>
            <w:tcMar>
              <w:top w:w="120" w:type="dxa"/>
              <w:left w:w="120" w:type="dxa"/>
              <w:bottom w:w="120" w:type="dxa"/>
              <w:right w:w="120" w:type="dxa"/>
            </w:tcMar>
            <w:vAlign w:val="center"/>
          </w:tcPr>
          <w:p w14:paraId="6D26B2E2">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提高层</w:t>
            </w:r>
          </w:p>
        </w:tc>
        <w:tc>
          <w:tcPr>
            <w:tcW w:w="3137" w:type="dxa"/>
            <w:shd w:val="clear" w:color="auto" w:fill="auto"/>
            <w:tcMar>
              <w:top w:w="120" w:type="dxa"/>
              <w:left w:w="120" w:type="dxa"/>
              <w:bottom w:w="120" w:type="dxa"/>
              <w:right w:w="120" w:type="dxa"/>
            </w:tcMar>
            <w:vAlign w:val="center"/>
          </w:tcPr>
          <w:p w14:paraId="7B6D3EEF">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起跑衔接加速跑过渡连贯，步频均匀，50米跑成绩男生≤12.5s、女生≤13.5s</w:t>
            </w:r>
          </w:p>
        </w:tc>
        <w:tc>
          <w:tcPr>
            <w:tcW w:w="2431" w:type="dxa"/>
            <w:shd w:val="clear" w:color="auto" w:fill="auto"/>
            <w:tcMar>
              <w:top w:w="120" w:type="dxa"/>
              <w:left w:w="120" w:type="dxa"/>
              <w:bottom w:w="120" w:type="dxa"/>
              <w:right w:w="120" w:type="dxa"/>
            </w:tcMar>
            <w:vAlign w:val="center"/>
          </w:tcPr>
          <w:p w14:paraId="161DA6E5">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蹬伸充分，身体腾空姿态稳定，立定跳远成绩男生≥130 厘米、女生≥120 厘米</w:t>
            </w:r>
          </w:p>
        </w:tc>
        <w:tc>
          <w:tcPr>
            <w:tcW w:w="2407" w:type="dxa"/>
            <w:shd w:val="clear" w:color="auto" w:fill="auto"/>
            <w:tcMar>
              <w:top w:w="120" w:type="dxa"/>
              <w:left w:w="120" w:type="dxa"/>
              <w:bottom w:w="120" w:type="dxa"/>
              <w:right w:w="120" w:type="dxa"/>
            </w:tcMar>
            <w:vAlign w:val="center"/>
          </w:tcPr>
          <w:p w14:paraId="015B03CD">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能够借助蹬转连贯发力，沙包投掷距离男生≥9 米、女生≥8 米</w:t>
            </w:r>
          </w:p>
        </w:tc>
      </w:tr>
      <w:tr w14:paraId="4A576038">
        <w:tblPrEx>
          <w:tblW w:w="8522" w:type="dxa"/>
          <w:jc w:val="center"/>
          <w:shd w:val="clear" w:color="auto" w:fill="auto"/>
          <w:tblCellMar>
            <w:top w:w="15" w:type="dxa"/>
            <w:left w:w="15" w:type="dxa"/>
            <w:bottom w:w="15" w:type="dxa"/>
            <w:right w:w="15" w:type="dxa"/>
          </w:tblCellMar>
        </w:tblPrEx>
        <w:trPr>
          <w:trHeight w:hRule="auto" w:val="0"/>
          <w:jc w:val="center"/>
        </w:trPr>
        <w:tc>
          <w:tcPr>
            <w:tcW w:w="547" w:type="dxa"/>
            <w:shd w:val="clear" w:color="auto" w:fill="auto"/>
            <w:tcMar>
              <w:top w:w="120" w:type="dxa"/>
              <w:left w:w="120" w:type="dxa"/>
              <w:bottom w:w="120" w:type="dxa"/>
              <w:right w:w="120" w:type="dxa"/>
            </w:tcMar>
            <w:vAlign w:val="center"/>
          </w:tcPr>
          <w:p w14:paraId="79FD2DC9">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拓展层</w:t>
            </w:r>
          </w:p>
        </w:tc>
        <w:tc>
          <w:tcPr>
            <w:tcW w:w="3137" w:type="dxa"/>
            <w:shd w:val="clear" w:color="auto" w:fill="auto"/>
            <w:tcMar>
              <w:top w:w="120" w:type="dxa"/>
              <w:left w:w="120" w:type="dxa"/>
              <w:bottom w:w="120" w:type="dxa"/>
              <w:right w:w="120" w:type="dxa"/>
            </w:tcMar>
            <w:vAlign w:val="center"/>
          </w:tcPr>
          <w:p w14:paraId="1FBB5302">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可自主调节起跑速度和步长，冲刺时能够保持发力，50米跑男生≤10.5秒、女生≤11.5秒</w:t>
            </w:r>
          </w:p>
        </w:tc>
        <w:tc>
          <w:tcPr>
            <w:tcW w:w="2431" w:type="dxa"/>
            <w:shd w:val="clear" w:color="auto" w:fill="auto"/>
            <w:tcMar>
              <w:top w:w="120" w:type="dxa"/>
              <w:left w:w="120" w:type="dxa"/>
              <w:bottom w:w="120" w:type="dxa"/>
              <w:right w:w="120" w:type="dxa"/>
            </w:tcMar>
            <w:vAlign w:val="center"/>
          </w:tcPr>
          <w:p w14:paraId="644602F1">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自主调整预摆幅度以及发力时机，立定跳远成绩男生≥150 厘米、女生≥140 厘米</w:t>
            </w:r>
          </w:p>
        </w:tc>
        <w:tc>
          <w:tcPr>
            <w:tcW w:w="2407" w:type="dxa"/>
            <w:shd w:val="clear" w:color="auto" w:fill="auto"/>
            <w:tcMar>
              <w:top w:w="120" w:type="dxa"/>
              <w:left w:w="120" w:type="dxa"/>
              <w:bottom w:w="120" w:type="dxa"/>
              <w:right w:w="120" w:type="dxa"/>
            </w:tcMar>
            <w:vAlign w:val="center"/>
          </w:tcPr>
          <w:p w14:paraId="16C0086E">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能够协调全身链条发力，自主调整出手角度，沙包投掷距离男生≥12 米、女生≥10 米</w:t>
            </w:r>
          </w:p>
        </w:tc>
      </w:tr>
    </w:tbl>
    <w:p w14:paraId="437EACD2">
      <w:pPr>
        <w:keepNext w:val="0"/>
        <w:keepLines w:val="0"/>
        <w:pageBreakBefore w:val="0"/>
        <w:widowControl w:val="0"/>
        <w:kinsoku/>
        <w:wordWrap/>
        <w:overflowPunct/>
        <w:topLinePunct w:val="0"/>
        <w:autoSpaceDE/>
        <w:autoSpaceDN/>
        <w:bidi w:val="0"/>
        <w:adjustRightInd/>
        <w:snapToGrid/>
        <w:jc w:val="both"/>
        <w:textAlignment w:val="auto"/>
        <w:rPr>
          <w:rFonts w:ascii="宋体" w:eastAsia="宋体" w:hAnsi="宋体" w:cs="宋体" w:hint="default"/>
          <w:lang w:val="en-US" w:eastAsia="zh-CN"/>
        </w:rPr>
      </w:pPr>
    </w:p>
    <w:p w14:paraId="5D00529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（二）动态分层标准与测评工具</w:t>
      </w:r>
    </w:p>
    <w:p w14:paraId="1048903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课题组综合体能测试、技能观察和兴趣调查这三种数据进行量化分层，给教师判定层次提供可以观察的行为锚点。分层标准参照学生目前的水平以及最近的发展区，分层不是固定的标签，教师根据过程性的评价对学生的分层进行每周小调整、单元大调整，防止标签化分组造成学生消极心理的影响，保证分层的结果真实反映学生的差异，并且更符合小学生身心发展的特点。</w:t>
      </w:r>
    </w:p>
    <w:p w14:paraId="3911364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三、任务分层：田径大单元任务链与活动设计</w:t>
      </w:r>
    </w:p>
    <w:p w14:paraId="4B6AF7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（一）三级递进任务链的开发</w:t>
      </w:r>
    </w:p>
    <w:p w14:paraId="6F618A6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课题组按照三级目标建立基础、提高、拓展递进式大单元任务链，基础层任务围绕起跑、摆臂、蹬地、投掷出手等基本动作的重复练习展开，用分解示范、降阶器械辅助等方式加深动作的固化程度，提高层任务关注助跑与跳跃、完整投掷的技术融合，融合节奏跑、障碍跳的情境来提高动作的连贯性，拓展层任务激发助跑距离调节、起跳动作设计的创造想法，在自主探究中将已学的知识综合运用起来。任务难易度有递进关系，内容上也互相衔接，避免单节课的教学形式化、碎片化。</w:t>
      </w:r>
    </w:p>
    <w:p w14:paraId="624F0AD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（二）游戏化与跨学科元素融入</w:t>
      </w:r>
    </w:p>
    <w:p w14:paraId="485D0FC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在分层任务的设计当中加入闯关、计数跑这些游戏化的工具，将数学计数、科学力学等学科知识融入其中丰富练习的形式，提高学生的田径学习兴趣，使技术习得在轻松有趣的氛围里自然地发生。教师根据田径动作创设情境任务，减轻学生练习时的心理压力，提高学生主动参与的意愿，使课堂趣味性和实效性达到平衡状态，使各个层次的学生在有趣的氛围里可以保持注意力。</w:t>
      </w:r>
    </w:p>
    <w:p w14:paraId="5527494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四、赛事分层：跨学科分层竞赛与学练赛贯通</w:t>
      </w:r>
    </w:p>
    <w:p w14:paraId="7B00630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课题组设计田径和游戏、艺术等学科融合的分层竞赛模式，使用异质分组的原则，每组学生是不同的层次，设置基础、提高、拓展三个层次的不同达成标准。基础层学生竞赛任务重在动作规范的执行，即用标记的路线跑完慢跑接力，正确做立定跳远动作，用固定的姿势投掷沙包，以动作的完整性为标准；提高层学生的竞赛任务是动作的连续性要求，即起跑与加速跑接力，连续跳过障碍物，连贯转体投掷，重视动作的稳定性以及完成的速度，拓展层学生的竞赛任务增加了一个自由设计环节，学生可自行安排助跑步点，搭配跳跃动作，调整投掷出手的角度，融入美术手绘赛道标识、节奏律动伴跑等内容，在单一的成绩评比中拓宽学生的视野，丰富课堂活动的形式，为新课标下的体育差异化教学提供一种新的范式，让学生在各种赛事中体会田径运动所蕴含的丰富性。</w:t>
      </w:r>
    </w:p>
    <w:p w14:paraId="780CE48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五、评价分层：过程性评价与动态调整机制</w:t>
      </w:r>
    </w:p>
    <w:p w14:paraId="136A1A7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（一）多元分层评价指标</w:t>
      </w:r>
    </w:p>
    <w:p w14:paraId="40036AB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课题组创建包含技能掌握、努力程度、合作表现等各方面的分层评价体系，把过程性评价和终结性评价相结合来综合反映学生的成长过程。评价主体包含教师、学生自评和同伴互评，多角度的数据互相印证，不能用单个测试成绩来评判学生的进步情况，重视现在所处的水平，更注重进步的程度，给教学调整赋予多种参照。</w:t>
      </w:r>
    </w:p>
    <w:p w14:paraId="33D3543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（二）评价反馈驱动层级动态调整</w:t>
      </w:r>
    </w:p>
    <w:p w14:paraId="754BC72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教师根据日常课堂观察以及阶段考试的数据更新学生的层次划分，在单元节点上进行复盘讨论，根据评价的结果重新调整任务的难度以及分组的方案，做到评价反馈与教学实施的闭环互动。层级调整参照量化的测评结果，还要考虑学生的学习状况以及心理感受，使动态分层有效地为学生的发展服务，防止分层固化造成的消极作用。</w:t>
      </w:r>
    </w:p>
    <w:p w14:paraId="66DE03C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六、准实验研究与效果验证</w:t>
      </w:r>
    </w:p>
    <w:p w14:paraId="35B0586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（一）实验设计与前测后测</w:t>
      </w:r>
    </w:p>
    <w:p w14:paraId="2A782E7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课题组选取同质化的小学班级作为实验班和对照班，实验班开展田径大单元分层教学活动，对照班采用传统的教学方式，用前测、后测的方法对技能达标率、课堂参与度、体育兴趣等数据进行对比分析，探究分层设计对于技能掌握、兴趣培养的成效，保证两组的样本数量、水平接近，提高对比结果的可信度。</w:t>
      </w:r>
    </w:p>
    <w:p w14:paraId="4F93D8B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（二）课堂观察与师生访谈</w:t>
      </w:r>
    </w:p>
    <w:p w14:paraId="6408E52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实验期间进行常态化的课堂观察，对分层任务执行、层次互动及课堂参与程度进行记录，对参与实验的教师和学生做半结构化访谈，以了解分层标准、任务的设计、评价机制等主观评价。量化数据与质性资料互相印证，一方面可以体现可以测量的成效变化，另一方面也呈现了课堂执行的真谛，提高了研究结果的可信度以及说服力。</w:t>
      </w:r>
    </w:p>
    <w:p w14:paraId="6E11175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七、实施障碍识别与优化推广</w:t>
      </w:r>
    </w:p>
    <w:p w14:paraId="277FAA0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（一）实施障碍的预判与应对</w:t>
      </w:r>
    </w:p>
    <w:p w14:paraId="1F08416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为避免教学实施过程中由于分层落实不到位、任务碎片化、评价反馈转化不充分等原因造成的问题，课题组事先做好应对措施，以分层专题研训提高教师的实操水平，以课例研磨改进任务的设计，以固定复盘节点加强评价和教学的联系，在真实的课堂里保证方案的稳定性。</w:t>
      </w:r>
    </w:p>
    <w:p w14:paraId="61351B7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（二）优化策略与成果推广</w:t>
      </w:r>
    </w:p>
    <w:p w14:paraId="5431D50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课题组对实施经验进行梳理总结，归纳出分层设计实施中的障碍及改进办法，提炼出可以复制、迁移的田径分层教学范式，形成有普适性教学案例和操作工具，给一线教师提供可以借鉴的教学方法，推进新课标理念的全面落地，给区域内小学体育差异化教学提供范例。</w:t>
      </w:r>
    </w:p>
    <w:p w14:paraId="4D55BE4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本方案围绕目标分层、任务分层、评价分层三条主线，把动态分层标准、三级递进任务链、跨学科分层竞赛和过程性评价有效地结合在一起，用准实验的方式检验实施的效果，形成完整的闭环。方案在实施过程中要以教师的班级学情为依据进行灵活调整，依靠不断的观察和反馈来改进过程，才能够真正体现学生个体的差异，使新课标学练赛一体化、以学生发展为本的理念落实到田径课堂，促进学生的体育核心素养全面发展。</w:t>
      </w:r>
    </w:p>
    <w:p w14:paraId="2CE8621A">
      <w:pPr>
        <w:keepNext w:val="0"/>
        <w:keepLines w:val="0"/>
        <w:pageBreakBefore w:val="0"/>
        <w:widowControl w:val="0"/>
        <w:kinsoku/>
        <w:wordWrap/>
        <w:overflowPunct/>
        <w:topLinePunct w:val="0"/>
        <w:autoSpaceDE/>
        <w:autoSpaceDN/>
        <w:bidi w:val="0"/>
        <w:adjustRightInd/>
        <w:snapToGrid/>
        <w:jc w:val="both"/>
        <w:textAlignment w:val="auto"/>
        <w:rPr>
          <w:rFonts w:ascii="宋体" w:eastAsia="宋体" w:hAnsi="宋体" w:cs="宋体" w:hint="eastAsia"/>
          <w:lang w:val="en-US" w:eastAsia="zh-CN"/>
        </w:rPr>
      </w:pP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55104"/>
    <w:rsid w:val="61D55104"/>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23</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2026-10-26T05:51:00Z</dcterms:created>
  <dcterms:modified xsi:type="dcterms:W3CDTF">2026-10-26T06:18:32Z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EA1DB2315CC24E128021F49216CF66D9_11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