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7AF7653">
      <w:pPr>
        <w:pStyle w:val="Heading1"/>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新课标背景下小学体育田径大单元教学分层设计研究——中期报告</w:t>
      </w:r>
    </w:p>
    <w:p w14:paraId="75030CBD">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一、研究的进展</w:t>
      </w:r>
    </w:p>
    <w:p w14:paraId="7E36C3C5">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4月课</w:t>
      </w:r>
      <w:r>
        <w:rPr>
          <w:rStyle w:val="Strong"/>
          <w:rFonts w:ascii="宋体" w:eastAsia="宋体" w:hAnsi="宋体" w:cs="宋体" w:hint="eastAsia"/>
          <w:sz w:val="21"/>
          <w:szCs w:val="21"/>
          <w:lang w:eastAsia="zh-CN"/>
        </w:rPr>
        <w:t>题</w:t>
      </w:r>
      <w:r>
        <w:rPr>
          <w:rFonts w:ascii="宋体" w:eastAsia="宋体" w:hAnsi="宋体" w:cs="宋体" w:hint="eastAsia"/>
          <w:sz w:val="21"/>
          <w:szCs w:val="21"/>
        </w:rPr>
        <w:t>组成员全部到位，主持人、实验老师、数据记录员分别明确了各自的职责范围，并建立了例会制度以及档案管理制度，确定了总体工作节奏和阶段任务清单，为以后各个阶段的顺利衔接打好组织基础。</w:t>
      </w:r>
    </w:p>
    <w:p w14:paraId="70B4FCD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5月</w:t>
      </w:r>
      <w:r>
        <w:rPr>
          <w:rFonts w:ascii="宋体" w:eastAsia="宋体" w:hAnsi="宋体" w:cs="宋体" w:hint="eastAsia"/>
          <w:sz w:val="21"/>
          <w:szCs w:val="21"/>
        </w:rPr>
        <w:t>主要研读新课标解读、分层教学、大单元教学等权威文献，通过问卷调查、课堂观察等方式分析目前田径课堂存在的问题，进而对分层设计的现实需求进行梳理。</w:t>
      </w:r>
    </w:p>
    <w:p w14:paraId="21A68B8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6月编</w:t>
      </w:r>
      <w:r>
        <w:rPr>
          <w:rFonts w:ascii="宋体" w:eastAsia="宋体" w:hAnsi="宋体" w:cs="宋体" w:hint="eastAsia"/>
          <w:sz w:val="21"/>
          <w:szCs w:val="21"/>
        </w:rPr>
        <w:t>写学生体能技能测评量表、分层教学任务设计模板、课堂观察记录表、师生访谈提纲，并选定三到四年级实验班和对照班，对两班学生进行水平构成的调查，保证实验样本有较好的代表性。</w:t>
      </w:r>
    </w:p>
    <w:p w14:paraId="50ACF96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7月根</w:t>
      </w:r>
      <w:r>
        <w:rPr>
          <w:rFonts w:ascii="宋体" w:eastAsia="宋体" w:hAnsi="宋体" w:cs="宋体" w:hint="eastAsia"/>
          <w:sz w:val="21"/>
          <w:szCs w:val="21"/>
        </w:rPr>
        <w:t>据新课标的要求，以跳跃、协调性训练为依托，设计基础、提高、拓展三级递进的任务链，并确定分层标准、动态调整规则和评价标准，为教师提供可以直接使用的教学蓝图。</w:t>
      </w:r>
    </w:p>
    <w:p w14:paraId="73BF39B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8月开</w:t>
      </w:r>
      <w:r>
        <w:rPr>
          <w:rFonts w:ascii="宋体" w:eastAsia="宋体" w:hAnsi="宋体" w:cs="宋体" w:hint="eastAsia"/>
          <w:sz w:val="21"/>
          <w:szCs w:val="21"/>
        </w:rPr>
        <w:t>始撰写阶段性的调查报告，对学生的体能技能差异进行整理提炼，并对分层教学的需求进行整理提炼，从而制定分层方案。</w:t>
      </w:r>
    </w:p>
    <w:p w14:paraId="79E5792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9月实</w:t>
      </w:r>
      <w:r>
        <w:rPr>
          <w:rFonts w:ascii="宋体" w:eastAsia="宋体" w:hAnsi="宋体" w:cs="宋体" w:hint="eastAsia"/>
          <w:sz w:val="21"/>
          <w:szCs w:val="21"/>
        </w:rPr>
        <w:t>验班全面实施分层教学方案，对照班采用传统的统一教学方式，进行技能达标率及课堂参与度的前测，同时对课堂录像以及过程性数据进行记录，留有对比实验的基线。</w:t>
      </w:r>
    </w:p>
    <w:p w14:paraId="4D8C2ABB">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10月：</w:t>
      </w:r>
      <w:r>
        <w:rPr>
          <w:rFonts w:ascii="宋体" w:eastAsia="宋体" w:hAnsi="宋体" w:cs="宋体" w:hint="eastAsia"/>
          <w:sz w:val="21"/>
          <w:szCs w:val="21"/>
        </w:rPr>
        <w:t>对十月的实践数据进行整理，完成测试和前后对比分析，组织课题中期汇报会，将课题中期研究进展、下一步工作计划等汇报给课题组成员。</w:t>
      </w:r>
    </w:p>
    <w:p w14:paraId="60802E35">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二、阶段性成果</w:t>
      </w:r>
    </w:p>
    <w:p w14:paraId="69BD6A3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1. 开展理论学习，明确理论依据</w:t>
      </w:r>
    </w:p>
    <w:p w14:paraId="41CE1F6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课题组成员以集中研学和自主研读相结合的方式，不断地对义务教育体育与健康课程标准（2022年版）进行深入的解读，整理出课标中有关结构化大单元教学、差异化学习、学练赛一体化开展的相关要求，逐步找到本课题研究的立足点，为后面分层方案搭建理论基础。</w:t>
      </w:r>
    </w:p>
    <w:p w14:paraId="78CA06B0">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2. 开展现状调查，明确现实依据</w:t>
      </w:r>
    </w:p>
    <w:p w14:paraId="56D3EB98">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default"/>
          <w:sz w:val="21"/>
          <w:szCs w:val="21"/>
          <w:lang w:val="en-US" w:eastAsia="zh-CN"/>
        </w:rPr>
      </w:pPr>
      <w:r>
        <w:rPr>
          <w:rFonts w:ascii="宋体" w:eastAsia="宋体" w:hAnsi="宋体" w:cs="宋体" w:hint="eastAsia"/>
          <w:sz w:val="21"/>
          <w:szCs w:val="21"/>
        </w:rPr>
        <w:t>课题组对三年级到四年级学生进行跑跳投体能基础、技能掌握情况以及田径学习兴趣的调查，并对体育教师对于田径大单元、分层教学、学练赛一体化的认识和课堂实施困难进行调查，</w:t>
      </w:r>
      <w:r>
        <w:rPr>
          <w:rFonts w:ascii="宋体" w:eastAsia="宋体" w:hAnsi="宋体" w:cs="宋体" w:hint="eastAsia"/>
          <w:sz w:val="21"/>
          <w:szCs w:val="21"/>
          <w:lang w:val="en-US" w:eastAsia="zh-CN"/>
        </w:rPr>
        <w:t>得出调查报告。</w:t>
      </w:r>
    </w:p>
    <w:p w14:paraId="6AE6B913">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3. 制定教学方案，明确实践方向</w:t>
      </w:r>
    </w:p>
    <w:p w14:paraId="2AE0F4F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sz w:val="21"/>
          <w:szCs w:val="21"/>
          <w:lang w:eastAsia="zh-CN"/>
        </w:rPr>
      </w:pPr>
      <w:r>
        <w:rPr>
          <w:rStyle w:val="Strong"/>
          <w:rFonts w:cs="宋体" w:hint="eastAsia"/>
          <w:b/>
          <w:sz w:val="21"/>
          <w:szCs w:val="21"/>
          <w:lang w:eastAsia="zh-CN"/>
        </w:rPr>
        <w:t>（1）锚定素养导向，实施目标分层</w:t>
      </w:r>
    </w:p>
    <w:p w14:paraId="502047E8">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val="0"/>
          <w:bCs w:val="0"/>
          <w:sz w:val="21"/>
          <w:szCs w:val="21"/>
          <w:lang w:eastAsia="zh-CN"/>
        </w:rPr>
      </w:pPr>
      <w:r>
        <w:rPr>
          <w:rStyle w:val="Strong"/>
          <w:rFonts w:cs="宋体" w:hint="eastAsia"/>
          <w:b w:val="0"/>
          <w:bCs w:val="0"/>
          <w:sz w:val="21"/>
          <w:szCs w:val="21"/>
          <w:lang w:eastAsia="zh-CN"/>
        </w:rPr>
        <w:t>课题以体育核心素养的培养为研究主线，以新课标学、练、赛一体化的要求为基础，根据学生跑、跳、投身体素质、动作掌握水平和运动兴趣等各方面的综合测评情况，将田径大单元总目标分解为基本、提高、拓展三个层次的子目标。基础目标是跑跳投的基础动作定型，提高目标是连续动作组合迁移，拓展目标是田径综合项目的运用，层级目标间存在一条连续的递进的内在联系，给之后的任务布置和评价实施指明了方向。</w:t>
      </w:r>
    </w:p>
    <w:p w14:paraId="3383A674">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sz w:val="21"/>
          <w:szCs w:val="21"/>
          <w:lang w:eastAsia="zh-CN"/>
        </w:rPr>
      </w:pPr>
      <w:r>
        <w:rPr>
          <w:rStyle w:val="Strong"/>
          <w:rFonts w:cs="宋体" w:hint="eastAsia"/>
          <w:b/>
          <w:sz w:val="21"/>
          <w:szCs w:val="21"/>
          <w:lang w:eastAsia="zh-CN"/>
        </w:rPr>
        <w:t>（2）依托梯度进阶，搭建任务分层</w:t>
      </w:r>
    </w:p>
    <w:p w14:paraId="282744E3">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val="0"/>
          <w:bCs w:val="0"/>
          <w:sz w:val="21"/>
          <w:szCs w:val="21"/>
          <w:lang w:eastAsia="zh-CN"/>
        </w:rPr>
      </w:pPr>
      <w:r>
        <w:rPr>
          <w:rStyle w:val="Strong"/>
          <w:rFonts w:cs="宋体" w:hint="eastAsia"/>
          <w:b w:val="0"/>
          <w:bCs w:val="0"/>
          <w:sz w:val="21"/>
          <w:szCs w:val="21"/>
          <w:lang w:eastAsia="zh-CN"/>
        </w:rPr>
        <w:t>根据三级目标发展顺序建立递进式田径大单元任务链，在任务的开发过程中加入闯关游戏载体与跨学科因素，打破了单节课时内内容相互割裂的壁垒。基础层任务主要是反复训练起跑、跳跃、投掷的基本动作，提高层的任务加入了连续跑跳的组合训练，拓展层的任务加入了田径闯关创意实践类活动。任务链条整个过程重视技术掌握和学习兴趣的激发，满足“教会、勤练”的课程要求在分层课堂中得到落实。</w:t>
      </w:r>
    </w:p>
    <w:p w14:paraId="45E9FF2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sz w:val="21"/>
          <w:szCs w:val="21"/>
          <w:lang w:eastAsia="zh-CN"/>
        </w:rPr>
      </w:pPr>
      <w:r>
        <w:rPr>
          <w:rStyle w:val="Strong"/>
          <w:rFonts w:cs="宋体" w:hint="eastAsia"/>
          <w:b/>
          <w:sz w:val="21"/>
          <w:szCs w:val="21"/>
          <w:lang w:eastAsia="zh-CN"/>
        </w:rPr>
        <w:t>（3）立足多元融通，推进赛事分层</w:t>
      </w:r>
    </w:p>
    <w:p w14:paraId="1AFCEE5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val="0"/>
          <w:bCs w:val="0"/>
          <w:sz w:val="21"/>
          <w:szCs w:val="21"/>
          <w:lang w:eastAsia="zh-CN"/>
        </w:rPr>
      </w:pPr>
      <w:r>
        <w:rPr>
          <w:rStyle w:val="Strong"/>
          <w:rFonts w:cs="宋体" w:hint="eastAsia"/>
          <w:b w:val="0"/>
          <w:bCs w:val="0"/>
          <w:sz w:val="21"/>
          <w:szCs w:val="21"/>
          <w:lang w:eastAsia="zh-CN"/>
        </w:rPr>
        <w:t>根据异质分组的形式来开发跨学科融合的分层田径比赛范式，将短跑、立定跳远、投掷沙包等田径活动与游戏、美术等其它学科内容融合起来，制定适合不同层次学生参加的竞赛标准。竞赛环节不单是考查学生跑跳投的成绩，更是对学生练习的态度、小组合作的情况进行评价，给基础层学生提供参与田径比赛的机会，给高年级学生留出发挥的空间，依靠分层竞赛来克服以前课堂上赛事形式化的不足。</w:t>
      </w:r>
    </w:p>
    <w:p w14:paraId="6783BA9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sz w:val="21"/>
          <w:szCs w:val="21"/>
          <w:lang w:eastAsia="zh-CN"/>
        </w:rPr>
      </w:pPr>
      <w:r>
        <w:rPr>
          <w:rStyle w:val="Strong"/>
          <w:rFonts w:cs="宋体" w:hint="eastAsia"/>
          <w:b/>
          <w:sz w:val="21"/>
          <w:szCs w:val="21"/>
          <w:lang w:eastAsia="zh-CN"/>
        </w:rPr>
        <w:t>（4）聚焦过程反馈，落实评价分层</w:t>
      </w:r>
    </w:p>
    <w:p w14:paraId="43D8237B">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cs="宋体" w:hint="eastAsia"/>
          <w:b w:val="0"/>
          <w:bCs w:val="0"/>
          <w:sz w:val="21"/>
          <w:szCs w:val="21"/>
          <w:lang w:eastAsia="zh-CN"/>
        </w:rPr>
      </w:pPr>
      <w:r>
        <w:rPr>
          <w:rStyle w:val="Strong"/>
          <w:rFonts w:cs="宋体" w:hint="eastAsia"/>
          <w:b w:val="0"/>
          <w:bCs w:val="0"/>
          <w:sz w:val="21"/>
          <w:szCs w:val="21"/>
          <w:lang w:eastAsia="zh-CN"/>
        </w:rPr>
        <w:t>课题组创建了适合田径动态分组模式的分层评价体系，评价内容包括学生跑跳投技能的掌握情况、学生阶段性进步的程度、小队合作的水平等各个方面，并不是把一次田径测试的成绩作为唯一的标准来判定学生的成绩。教师以常态化的课堂观察为基础，依靠学生自我评价的信息，将分层数据同步更新，并将评价结果反向影响田径教学目标和练习任务的难度，实现教学实施和评价改进的闭环循环，使小学阶段的小学生身心健康状况不断变化的需要得到满足。</w:t>
      </w:r>
    </w:p>
    <w:p w14:paraId="56BBDD6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cs="宋体" w:hint="eastAsia"/>
          <w:sz w:val="21"/>
          <w:szCs w:val="21"/>
          <w:lang w:val="en-US" w:eastAsia="zh-CN"/>
        </w:rPr>
        <w:t>4.</w:t>
      </w:r>
      <w:r>
        <w:rPr>
          <w:rFonts w:ascii="宋体" w:eastAsia="宋体" w:hAnsi="宋体" w:cs="宋体" w:hint="eastAsia"/>
          <w:sz w:val="21"/>
          <w:szCs w:val="21"/>
        </w:rPr>
        <w:t>开展教学实践，提炼实施经验</w:t>
      </w:r>
    </w:p>
    <w:p w14:paraId="4BFB0C30">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课题组以跳跃和协调性训练田径大单元为基础，在三年级到四年级的实验班开展分层教学，对照班采用传统的教学方式，同时在前后两次测验中收集数据，对课堂练习以及分层竞赛的执行情况展开持续的记录，通过过程观察比较各个组别的学生在技能的获得以及课堂上的参与程度上存在怎样的差异，给分层策略的改进提供第一手的实践材料。实验组与对照组的具体效果见下表。</w:t>
      </w:r>
    </w:p>
    <w:p w14:paraId="020A666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firstLine="420" w:firstLineChars="200"/>
        <w:jc w:val="center"/>
        <w:textAlignment w:val="auto"/>
        <w:rPr>
          <w:rFonts w:ascii="宋体" w:eastAsia="宋体" w:hAnsi="宋体" w:cs="宋体" w:hint="eastAsia"/>
          <w:sz w:val="21"/>
          <w:szCs w:val="21"/>
        </w:rPr>
      </w:pPr>
      <w:r>
        <w:rPr>
          <w:rStyle w:val="Strong"/>
          <w:rFonts w:ascii="宋体" w:eastAsia="宋体" w:hAnsi="宋体" w:cs="宋体" w:hint="eastAsia"/>
          <w:sz w:val="21"/>
          <w:szCs w:val="21"/>
        </w:rPr>
        <w:t>实验组与对照组前后测核心指标对比</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1918"/>
        <w:gridCol w:w="1651"/>
        <w:gridCol w:w="1651"/>
        <w:gridCol w:w="1651"/>
        <w:gridCol w:w="1651"/>
      </w:tblGrid>
      <w:tr w14:paraId="54E4C67B">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rHeight w:hRule="auto" w:val="0"/>
          <w:tblHeader/>
          <w:jc w:val="center"/>
        </w:trPr>
        <w:tc>
          <w:tcPr>
            <w:tcW w:w="1918" w:type="dxa"/>
            <w:shd w:val="clear" w:color="auto" w:fill="auto"/>
            <w:noWrap w:val="0"/>
            <w:tcMar>
              <w:top w:w="120" w:type="dxa"/>
              <w:left w:w="120" w:type="dxa"/>
              <w:bottom w:w="120" w:type="dxa"/>
              <w:right w:w="120" w:type="dxa"/>
            </w:tcMar>
            <w:vAlign w:val="center"/>
          </w:tcPr>
          <w:p w14:paraId="3FCFF15B">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核心指标</w:t>
            </w:r>
          </w:p>
        </w:tc>
        <w:tc>
          <w:tcPr>
            <w:tcW w:w="1651" w:type="dxa"/>
            <w:shd w:val="clear" w:color="auto" w:fill="auto"/>
            <w:noWrap w:val="0"/>
            <w:tcMar>
              <w:top w:w="120" w:type="dxa"/>
              <w:left w:w="120" w:type="dxa"/>
              <w:bottom w:w="120" w:type="dxa"/>
              <w:right w:w="120" w:type="dxa"/>
            </w:tcMar>
            <w:vAlign w:val="center"/>
          </w:tcPr>
          <w:p w14:paraId="0CF8AD4C">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实验组前测</w:t>
            </w:r>
          </w:p>
        </w:tc>
        <w:tc>
          <w:tcPr>
            <w:tcW w:w="1651" w:type="dxa"/>
            <w:shd w:val="clear" w:color="auto" w:fill="auto"/>
            <w:noWrap w:val="0"/>
            <w:tcMar>
              <w:top w:w="120" w:type="dxa"/>
              <w:left w:w="120" w:type="dxa"/>
              <w:bottom w:w="120" w:type="dxa"/>
              <w:right w:w="120" w:type="dxa"/>
            </w:tcMar>
            <w:vAlign w:val="center"/>
          </w:tcPr>
          <w:p w14:paraId="1F321964">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实验组后测</w:t>
            </w:r>
          </w:p>
        </w:tc>
        <w:tc>
          <w:tcPr>
            <w:tcW w:w="1651" w:type="dxa"/>
            <w:shd w:val="clear" w:color="auto" w:fill="auto"/>
            <w:noWrap w:val="0"/>
            <w:tcMar>
              <w:top w:w="120" w:type="dxa"/>
              <w:left w:w="120" w:type="dxa"/>
              <w:bottom w:w="120" w:type="dxa"/>
              <w:right w:w="120" w:type="dxa"/>
            </w:tcMar>
            <w:vAlign w:val="center"/>
          </w:tcPr>
          <w:p w14:paraId="2CDA9C36">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对照组前测</w:t>
            </w:r>
          </w:p>
        </w:tc>
        <w:tc>
          <w:tcPr>
            <w:tcW w:w="1651" w:type="dxa"/>
            <w:shd w:val="clear" w:color="auto" w:fill="auto"/>
            <w:noWrap w:val="0"/>
            <w:tcMar>
              <w:top w:w="120" w:type="dxa"/>
              <w:left w:w="120" w:type="dxa"/>
              <w:bottom w:w="120" w:type="dxa"/>
              <w:right w:w="120" w:type="dxa"/>
            </w:tcMar>
            <w:vAlign w:val="center"/>
          </w:tcPr>
          <w:p w14:paraId="1D1FED59">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对照组后测</w:t>
            </w:r>
          </w:p>
        </w:tc>
      </w:tr>
      <w:tr w14:paraId="256A02A7">
        <w:tblPrEx>
          <w:tblW w:w="8522" w:type="dxa"/>
          <w:jc w:val="center"/>
          <w:shd w:val="clear" w:color="auto" w:fill="auto"/>
          <w:tblCellMar>
            <w:top w:w="15" w:type="dxa"/>
            <w:left w:w="15" w:type="dxa"/>
            <w:bottom w:w="15" w:type="dxa"/>
            <w:right w:w="15" w:type="dxa"/>
          </w:tblCellMar>
        </w:tblPrEx>
        <w:trPr>
          <w:trHeight w:hRule="auto" w:val="0"/>
          <w:jc w:val="center"/>
        </w:trPr>
        <w:tc>
          <w:tcPr>
            <w:tcW w:w="1918" w:type="dxa"/>
            <w:shd w:val="clear" w:color="auto" w:fill="auto"/>
            <w:noWrap w:val="0"/>
            <w:tcMar>
              <w:top w:w="120" w:type="dxa"/>
              <w:left w:w="120" w:type="dxa"/>
              <w:bottom w:w="120" w:type="dxa"/>
              <w:right w:w="120" w:type="dxa"/>
            </w:tcMar>
            <w:vAlign w:val="center"/>
          </w:tcPr>
          <w:p w14:paraId="79C7D75F">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技能达标率</w:t>
            </w:r>
          </w:p>
        </w:tc>
        <w:tc>
          <w:tcPr>
            <w:tcW w:w="1651" w:type="dxa"/>
            <w:shd w:val="clear" w:color="auto" w:fill="auto"/>
            <w:noWrap w:val="0"/>
            <w:tcMar>
              <w:top w:w="120" w:type="dxa"/>
              <w:left w:w="120" w:type="dxa"/>
              <w:bottom w:w="120" w:type="dxa"/>
              <w:right w:w="120" w:type="dxa"/>
            </w:tcMar>
            <w:vAlign w:val="center"/>
          </w:tcPr>
          <w:p w14:paraId="7E82DC54">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71.2%</w:t>
            </w:r>
          </w:p>
        </w:tc>
        <w:tc>
          <w:tcPr>
            <w:tcW w:w="1651" w:type="dxa"/>
            <w:shd w:val="clear" w:color="auto" w:fill="auto"/>
            <w:noWrap w:val="0"/>
            <w:tcMar>
              <w:top w:w="120" w:type="dxa"/>
              <w:left w:w="120" w:type="dxa"/>
              <w:bottom w:w="120" w:type="dxa"/>
              <w:right w:w="120" w:type="dxa"/>
            </w:tcMar>
            <w:vAlign w:val="center"/>
          </w:tcPr>
          <w:p w14:paraId="06C8A85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88.4%</w:t>
            </w:r>
          </w:p>
        </w:tc>
        <w:tc>
          <w:tcPr>
            <w:tcW w:w="1651" w:type="dxa"/>
            <w:shd w:val="clear" w:color="auto" w:fill="auto"/>
            <w:noWrap w:val="0"/>
            <w:tcMar>
              <w:top w:w="120" w:type="dxa"/>
              <w:left w:w="120" w:type="dxa"/>
              <w:bottom w:w="120" w:type="dxa"/>
              <w:right w:w="120" w:type="dxa"/>
            </w:tcMar>
            <w:vAlign w:val="center"/>
          </w:tcPr>
          <w:p w14:paraId="62DF469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72.5%</w:t>
            </w:r>
          </w:p>
        </w:tc>
        <w:tc>
          <w:tcPr>
            <w:tcW w:w="1651" w:type="dxa"/>
            <w:shd w:val="clear" w:color="auto" w:fill="auto"/>
            <w:noWrap w:val="0"/>
            <w:tcMar>
              <w:top w:w="120" w:type="dxa"/>
              <w:left w:w="120" w:type="dxa"/>
              <w:bottom w:w="120" w:type="dxa"/>
              <w:right w:w="120" w:type="dxa"/>
            </w:tcMar>
            <w:vAlign w:val="center"/>
          </w:tcPr>
          <w:p w14:paraId="2F90FEA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78.6%</w:t>
            </w:r>
          </w:p>
        </w:tc>
      </w:tr>
      <w:tr w14:paraId="7E10320F">
        <w:tblPrEx>
          <w:tblW w:w="8522" w:type="dxa"/>
          <w:jc w:val="center"/>
          <w:shd w:val="clear" w:color="auto" w:fill="auto"/>
          <w:tblCellMar>
            <w:top w:w="15" w:type="dxa"/>
            <w:left w:w="15" w:type="dxa"/>
            <w:bottom w:w="15" w:type="dxa"/>
            <w:right w:w="15" w:type="dxa"/>
          </w:tblCellMar>
        </w:tblPrEx>
        <w:trPr>
          <w:trHeight w:hRule="auto" w:val="0"/>
          <w:jc w:val="center"/>
        </w:trPr>
        <w:tc>
          <w:tcPr>
            <w:tcW w:w="1918" w:type="dxa"/>
            <w:shd w:val="clear" w:color="auto" w:fill="auto"/>
            <w:noWrap w:val="0"/>
            <w:tcMar>
              <w:top w:w="120" w:type="dxa"/>
              <w:left w:w="120" w:type="dxa"/>
              <w:bottom w:w="120" w:type="dxa"/>
              <w:right w:w="120" w:type="dxa"/>
            </w:tcMar>
            <w:vAlign w:val="center"/>
          </w:tcPr>
          <w:p w14:paraId="71B5ADBD">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课堂参与度</w:t>
            </w:r>
          </w:p>
        </w:tc>
        <w:tc>
          <w:tcPr>
            <w:tcW w:w="1651" w:type="dxa"/>
            <w:shd w:val="clear" w:color="auto" w:fill="auto"/>
            <w:noWrap w:val="0"/>
            <w:tcMar>
              <w:top w:w="120" w:type="dxa"/>
              <w:left w:w="120" w:type="dxa"/>
              <w:bottom w:w="120" w:type="dxa"/>
              <w:right w:w="120" w:type="dxa"/>
            </w:tcMar>
            <w:vAlign w:val="center"/>
          </w:tcPr>
          <w:p w14:paraId="4177E421">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66.8%</w:t>
            </w:r>
          </w:p>
        </w:tc>
        <w:tc>
          <w:tcPr>
            <w:tcW w:w="1651" w:type="dxa"/>
            <w:shd w:val="clear" w:color="auto" w:fill="auto"/>
            <w:noWrap w:val="0"/>
            <w:tcMar>
              <w:top w:w="120" w:type="dxa"/>
              <w:left w:w="120" w:type="dxa"/>
              <w:bottom w:w="120" w:type="dxa"/>
              <w:right w:w="120" w:type="dxa"/>
            </w:tcMar>
            <w:vAlign w:val="center"/>
          </w:tcPr>
          <w:p w14:paraId="1C636B0F">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90.1%</w:t>
            </w:r>
          </w:p>
        </w:tc>
        <w:tc>
          <w:tcPr>
            <w:tcW w:w="1651" w:type="dxa"/>
            <w:shd w:val="clear" w:color="auto" w:fill="auto"/>
            <w:noWrap w:val="0"/>
            <w:tcMar>
              <w:top w:w="120" w:type="dxa"/>
              <w:left w:w="120" w:type="dxa"/>
              <w:bottom w:w="120" w:type="dxa"/>
              <w:right w:w="120" w:type="dxa"/>
            </w:tcMar>
            <w:vAlign w:val="center"/>
          </w:tcPr>
          <w:p w14:paraId="1AF0CA96">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68.3%</w:t>
            </w:r>
          </w:p>
        </w:tc>
        <w:tc>
          <w:tcPr>
            <w:tcW w:w="1651" w:type="dxa"/>
            <w:shd w:val="clear" w:color="auto" w:fill="auto"/>
            <w:noWrap w:val="0"/>
            <w:tcMar>
              <w:top w:w="120" w:type="dxa"/>
              <w:left w:w="120" w:type="dxa"/>
              <w:bottom w:w="120" w:type="dxa"/>
              <w:right w:w="120" w:type="dxa"/>
            </w:tcMar>
            <w:vAlign w:val="center"/>
          </w:tcPr>
          <w:p w14:paraId="094BD821">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74.2%</w:t>
            </w:r>
          </w:p>
        </w:tc>
      </w:tr>
      <w:tr w14:paraId="7DF7D1FC">
        <w:tblPrEx>
          <w:tblW w:w="8522" w:type="dxa"/>
          <w:jc w:val="center"/>
          <w:shd w:val="clear" w:color="auto" w:fill="auto"/>
          <w:tblCellMar>
            <w:top w:w="15" w:type="dxa"/>
            <w:left w:w="15" w:type="dxa"/>
            <w:bottom w:w="15" w:type="dxa"/>
            <w:right w:w="15" w:type="dxa"/>
          </w:tblCellMar>
        </w:tblPrEx>
        <w:trPr>
          <w:trHeight w:hRule="auto" w:val="0"/>
          <w:jc w:val="center"/>
        </w:trPr>
        <w:tc>
          <w:tcPr>
            <w:tcW w:w="1918" w:type="dxa"/>
            <w:shd w:val="clear" w:color="auto" w:fill="auto"/>
            <w:noWrap w:val="0"/>
            <w:tcMar>
              <w:top w:w="120" w:type="dxa"/>
              <w:left w:w="120" w:type="dxa"/>
              <w:bottom w:w="120" w:type="dxa"/>
              <w:right w:w="120" w:type="dxa"/>
            </w:tcMar>
            <w:vAlign w:val="center"/>
          </w:tcPr>
          <w:p w14:paraId="57D44D5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体育兴趣均分</w:t>
            </w:r>
          </w:p>
        </w:tc>
        <w:tc>
          <w:tcPr>
            <w:tcW w:w="1651" w:type="dxa"/>
            <w:shd w:val="clear" w:color="auto" w:fill="auto"/>
            <w:noWrap w:val="0"/>
            <w:tcMar>
              <w:top w:w="120" w:type="dxa"/>
              <w:left w:w="120" w:type="dxa"/>
              <w:bottom w:w="120" w:type="dxa"/>
              <w:right w:w="120" w:type="dxa"/>
            </w:tcMar>
            <w:vAlign w:val="center"/>
          </w:tcPr>
          <w:p w14:paraId="54F54878">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3.2</w:t>
            </w:r>
          </w:p>
        </w:tc>
        <w:tc>
          <w:tcPr>
            <w:tcW w:w="1651" w:type="dxa"/>
            <w:shd w:val="clear" w:color="auto" w:fill="auto"/>
            <w:noWrap w:val="0"/>
            <w:tcMar>
              <w:top w:w="120" w:type="dxa"/>
              <w:left w:w="120" w:type="dxa"/>
              <w:bottom w:w="120" w:type="dxa"/>
              <w:right w:w="120" w:type="dxa"/>
            </w:tcMar>
            <w:vAlign w:val="center"/>
          </w:tcPr>
          <w:p w14:paraId="182AC61D">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4.1</w:t>
            </w:r>
          </w:p>
        </w:tc>
        <w:tc>
          <w:tcPr>
            <w:tcW w:w="1651" w:type="dxa"/>
            <w:shd w:val="clear" w:color="auto" w:fill="auto"/>
            <w:noWrap w:val="0"/>
            <w:tcMar>
              <w:top w:w="120" w:type="dxa"/>
              <w:left w:w="120" w:type="dxa"/>
              <w:bottom w:w="120" w:type="dxa"/>
              <w:right w:w="120" w:type="dxa"/>
            </w:tcMar>
            <w:vAlign w:val="center"/>
          </w:tcPr>
          <w:p w14:paraId="58BE1BB0">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3.3</w:t>
            </w:r>
          </w:p>
        </w:tc>
        <w:tc>
          <w:tcPr>
            <w:tcW w:w="1651" w:type="dxa"/>
            <w:shd w:val="clear" w:color="auto" w:fill="auto"/>
            <w:noWrap w:val="0"/>
            <w:tcMar>
              <w:top w:w="120" w:type="dxa"/>
              <w:left w:w="120" w:type="dxa"/>
              <w:bottom w:w="120" w:type="dxa"/>
              <w:right w:w="120" w:type="dxa"/>
            </w:tcMar>
            <w:vAlign w:val="center"/>
          </w:tcPr>
          <w:p w14:paraId="396DCB27">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3.6</w:t>
            </w:r>
          </w:p>
        </w:tc>
      </w:tr>
    </w:tbl>
    <w:p w14:paraId="090A2E7A">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三、存在的问题</w:t>
      </w:r>
    </w:p>
    <w:p w14:paraId="49E85260">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ascii="宋体" w:eastAsia="宋体" w:hAnsi="宋体" w:cs="宋体" w:hint="eastAsia"/>
          <w:b/>
          <w:sz w:val="21"/>
          <w:szCs w:val="21"/>
        </w:rPr>
      </w:pPr>
      <w:r>
        <w:rPr>
          <w:rStyle w:val="Strong"/>
          <w:rFonts w:cs="宋体" w:hint="eastAsia"/>
          <w:b/>
          <w:sz w:val="21"/>
          <w:szCs w:val="21"/>
          <w:lang w:val="en-US" w:eastAsia="zh-CN"/>
        </w:rPr>
        <w:t>1.教</w:t>
      </w:r>
      <w:r>
        <w:rPr>
          <w:rStyle w:val="Strong"/>
          <w:rFonts w:ascii="宋体" w:eastAsia="宋体" w:hAnsi="宋体" w:cs="宋体" w:hint="eastAsia"/>
          <w:b/>
          <w:sz w:val="21"/>
          <w:szCs w:val="21"/>
        </w:rPr>
        <w:t>学执行出现穿新鞋走老路的情况。部分</w:t>
      </w:r>
      <w:r>
        <w:rPr>
          <w:rStyle w:val="Strong"/>
          <w:rFonts w:ascii="宋体" w:eastAsia="宋体" w:hAnsi="宋体" w:cs="宋体" w:hint="eastAsia"/>
          <w:b w:val="0"/>
          <w:bCs w:val="0"/>
          <w:sz w:val="21"/>
          <w:szCs w:val="21"/>
        </w:rPr>
        <w:t>教师虽然认同分层教学理念，但是在课堂上仍然使用传统的教学组织形式，分层任务只是存在于教案文本中，真实的授课环节很难进行差异化的指导，分层设计的育人功能没有得到充分发挥。</w:t>
      </w:r>
    </w:p>
    <w:p w14:paraId="7AAEFC8D">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ascii="宋体" w:eastAsia="宋体" w:hAnsi="宋体" w:cs="宋体" w:hint="eastAsia"/>
          <w:b/>
          <w:sz w:val="21"/>
          <w:szCs w:val="21"/>
        </w:rPr>
      </w:pPr>
      <w:r>
        <w:rPr>
          <w:rStyle w:val="Strong"/>
          <w:rFonts w:cs="宋体" w:hint="eastAsia"/>
          <w:b/>
          <w:sz w:val="21"/>
          <w:szCs w:val="21"/>
          <w:lang w:val="en-US" w:eastAsia="zh-CN"/>
        </w:rPr>
        <w:t>2.过</w:t>
      </w:r>
      <w:r>
        <w:rPr>
          <w:rStyle w:val="Strong"/>
          <w:rFonts w:ascii="宋体" w:eastAsia="宋体" w:hAnsi="宋体" w:cs="宋体" w:hint="eastAsia"/>
          <w:b/>
          <w:sz w:val="21"/>
          <w:szCs w:val="21"/>
        </w:rPr>
        <w:t>程性资料存留少。课堂分层</w:t>
      </w:r>
      <w:r>
        <w:rPr>
          <w:rStyle w:val="Strong"/>
          <w:rFonts w:ascii="宋体" w:eastAsia="宋体" w:hAnsi="宋体" w:cs="宋体" w:hint="eastAsia"/>
          <w:b w:val="0"/>
          <w:bCs w:val="0"/>
          <w:sz w:val="21"/>
          <w:szCs w:val="21"/>
        </w:rPr>
        <w:t>练习记录、学生分层调整记录、访谈资料等材料缺少固定的收集流程，部分课堂上生成的课堂观察记录没有被及时保存，后续的数据分析、成果总结缺少足够原始资料。</w:t>
      </w:r>
    </w:p>
    <w:p w14:paraId="38AEFF4B">
      <w:pPr>
        <w:pStyle w:val="Heading2"/>
        <w:keepNext w:val="0"/>
        <w:keepLines w:val="0"/>
        <w:pageBreakBefore w:val="0"/>
        <w:widowControl/>
        <w:numPr>
          <w:numId w:val="0"/>
        </w:numPr>
        <w:suppressLineNumbers w:val="0"/>
        <w:kinsoku/>
        <w:wordWrap/>
        <w:overflowPunct/>
        <w:topLinePunct w:val="0"/>
        <w:autoSpaceDE/>
        <w:autoSpaceDN/>
        <w:bidi w:val="0"/>
        <w:adjustRightInd/>
        <w:snapToGrid w:val="0"/>
        <w:spacing w:beforeAutospacing="0" w:afterAutospacing="0"/>
        <w:ind w:right="0" w:firstLine="420" w:rightChars="0" w:firstLineChars="200"/>
        <w:textAlignment w:val="auto"/>
        <w:rPr>
          <w:rStyle w:val="Strong"/>
          <w:rFonts w:ascii="宋体" w:eastAsia="宋体" w:hAnsi="宋体" w:cs="宋体" w:hint="eastAsia"/>
          <w:b/>
          <w:sz w:val="21"/>
          <w:szCs w:val="21"/>
        </w:rPr>
      </w:pPr>
      <w:r>
        <w:rPr>
          <w:rStyle w:val="Strong"/>
          <w:rFonts w:cs="宋体" w:hint="eastAsia"/>
          <w:b/>
          <w:sz w:val="21"/>
          <w:szCs w:val="21"/>
          <w:lang w:val="en-US" w:eastAsia="zh-CN"/>
        </w:rPr>
        <w:t>3.</w:t>
      </w:r>
      <w:r>
        <w:rPr>
          <w:rStyle w:val="Strong"/>
          <w:rFonts w:ascii="宋体" w:eastAsia="宋体" w:hAnsi="宋体" w:cs="宋体" w:hint="eastAsia"/>
          <w:b/>
          <w:sz w:val="21"/>
          <w:szCs w:val="21"/>
        </w:rPr>
        <w:t>分层评价反馈转化效果不好。教</w:t>
      </w:r>
      <w:r>
        <w:rPr>
          <w:rStyle w:val="Strong"/>
          <w:rFonts w:ascii="宋体" w:eastAsia="宋体" w:hAnsi="宋体" w:cs="宋体" w:hint="eastAsia"/>
          <w:b w:val="0"/>
          <w:bCs w:val="0"/>
          <w:sz w:val="21"/>
          <w:szCs w:val="21"/>
        </w:rPr>
        <w:t>师能做好各层评价指标的记录工作，但是评价结果很少及时转化成任务难度或者分组方案的调整依据，评价和教学之间的联系链较短，以评促学的效果不大。</w:t>
      </w:r>
    </w:p>
    <w:p w14:paraId="06A85C05">
      <w:pPr>
        <w:pStyle w:val="Heading2"/>
        <w:keepNext w:val="0"/>
        <w:keepLines w:val="0"/>
        <w:pageBreakBefore w:val="0"/>
        <w:widowControl/>
        <w:numPr>
          <w:numId w:val="0"/>
        </w:numPr>
        <w:suppressLineNumbers w:val="0"/>
        <w:kinsoku/>
        <w:wordWrap/>
        <w:overflowPunct/>
        <w:topLinePunct w:val="0"/>
        <w:autoSpaceDE/>
        <w:autoSpaceDN/>
        <w:bidi w:val="0"/>
        <w:adjustRightInd/>
        <w:snapToGrid w:val="0"/>
        <w:spacing w:beforeAutospacing="0" w:afterAutospacing="0"/>
        <w:ind w:right="0" w:firstLine="420" w:rightChars="0" w:firstLineChars="200"/>
        <w:textAlignment w:val="auto"/>
        <w:rPr>
          <w:rFonts w:ascii="宋体" w:eastAsia="宋体" w:hAnsi="宋体" w:cs="宋体" w:hint="eastAsia"/>
          <w:sz w:val="21"/>
          <w:szCs w:val="21"/>
        </w:rPr>
      </w:pPr>
      <w:r>
        <w:rPr>
          <w:rFonts w:ascii="宋体" w:eastAsia="宋体" w:hAnsi="宋体" w:cs="宋体" w:hint="eastAsia"/>
          <w:sz w:val="21"/>
          <w:szCs w:val="21"/>
        </w:rPr>
        <w:t>四、今后的设想</w:t>
      </w:r>
    </w:p>
    <w:p w14:paraId="0E238DD4">
      <w:pPr>
        <w:keepNext w:val="0"/>
        <w:keepLines w:val="0"/>
        <w:pageBreakBefore w:val="0"/>
        <w:kinsoku/>
        <w:wordWrap/>
        <w:overflowPunct/>
        <w:topLinePunct w:val="0"/>
        <w:autoSpaceDE/>
        <w:autoSpaceDN/>
        <w:bidi w:val="0"/>
        <w:adjustRightInd/>
        <w:snapToGrid w:val="0"/>
        <w:spacing w:beforeAutospacing="0" w:afterAutospacing="0"/>
        <w:ind w:left="0" w:right="0" w:firstLine="420" w:firstLineChars="200"/>
        <w:textAlignment w:val="auto"/>
        <w:rPr>
          <w:rStyle w:val="Strong"/>
          <w:rFonts w:ascii="宋体" w:eastAsia="宋体" w:hAnsi="宋体" w:cs="宋体" w:hint="eastAsia"/>
          <w:b w:val="0"/>
          <w:bCs/>
          <w:sz w:val="21"/>
          <w:szCs w:val="21"/>
        </w:rPr>
      </w:pPr>
      <w:r>
        <w:rPr>
          <w:rStyle w:val="Strong"/>
          <w:rFonts w:ascii="宋体" w:eastAsia="宋体" w:hAnsi="宋体" w:cs="宋体" w:hint="eastAsia"/>
          <w:b w:val="0"/>
          <w:bCs/>
          <w:sz w:val="21"/>
          <w:szCs w:val="21"/>
          <w:lang w:val="en-US" w:eastAsia="zh-CN"/>
        </w:rPr>
        <w:t>1.</w:t>
      </w:r>
      <w:r>
        <w:rPr>
          <w:rStyle w:val="Strong"/>
          <w:rFonts w:ascii="宋体" w:eastAsia="宋体" w:hAnsi="宋体" w:cs="宋体" w:hint="eastAsia"/>
          <w:b w:val="0"/>
          <w:bCs/>
          <w:sz w:val="21"/>
          <w:szCs w:val="21"/>
        </w:rPr>
        <w:t>建立分层评价闭环，提高评价反馈的转化。单元内部设置固定的复盘节点，教师根据课堂上收集到的学生评价信息来判断学生的发展状况，在发现学生发展不均衡的时候马上作出相应的调整，将学生的田径教学活动评价数据及时反馈到田径课堂教学的动态调整中去。</w:t>
      </w:r>
    </w:p>
    <w:p w14:paraId="493175FA">
      <w:pPr>
        <w:keepNext w:val="0"/>
        <w:keepLines w:val="0"/>
        <w:pageBreakBefore w:val="0"/>
        <w:kinsoku/>
        <w:wordWrap/>
        <w:overflowPunct/>
        <w:topLinePunct w:val="0"/>
        <w:autoSpaceDE/>
        <w:autoSpaceDN/>
        <w:bidi w:val="0"/>
        <w:adjustRightInd/>
        <w:snapToGrid/>
        <w:spacing w:beforeAutospacing="0" w:afterAutospacing="0"/>
        <w:ind w:left="0" w:right="0" w:firstLine="420" w:firstLineChars="200"/>
        <w:textAlignment w:val="auto"/>
        <w:rPr>
          <w:rStyle w:val="Strong"/>
          <w:rFonts w:ascii="宋体" w:eastAsia="宋体" w:hAnsi="宋体" w:cs="宋体" w:hint="eastAsia"/>
          <w:b w:val="0"/>
          <w:bCs/>
          <w:sz w:val="21"/>
          <w:szCs w:val="21"/>
        </w:rPr>
      </w:pPr>
      <w:r>
        <w:rPr>
          <w:rStyle w:val="Strong"/>
          <w:rFonts w:ascii="宋体" w:eastAsia="宋体" w:hAnsi="宋体" w:cs="宋体" w:hint="eastAsia"/>
          <w:b w:val="0"/>
          <w:bCs/>
          <w:sz w:val="21"/>
          <w:szCs w:val="21"/>
          <w:lang w:val="en-US" w:eastAsia="zh-CN"/>
        </w:rPr>
        <w:t>2.</w:t>
      </w:r>
      <w:r>
        <w:rPr>
          <w:rStyle w:val="Strong"/>
          <w:rFonts w:ascii="宋体" w:eastAsia="宋体" w:hAnsi="宋体" w:cs="宋体" w:hint="eastAsia"/>
          <w:b w:val="0"/>
          <w:bCs/>
          <w:sz w:val="21"/>
          <w:szCs w:val="21"/>
        </w:rPr>
        <w:t>深入研究分层教学的实践操作，使分层教学不再成为“新鞋旧路”。围绕田径大单元分层任务的开展、异质组赛事</w:t>
      </w:r>
      <w:bookmarkStart w:id="0" w:name="_GoBack"/>
      <w:bookmarkEnd w:id="0"/>
      <w:r>
        <w:rPr>
          <w:rStyle w:val="Strong"/>
          <w:rFonts w:ascii="宋体" w:eastAsia="宋体" w:hAnsi="宋体" w:cs="宋体" w:hint="eastAsia"/>
          <w:b w:val="0"/>
          <w:bCs/>
          <w:sz w:val="21"/>
          <w:szCs w:val="21"/>
        </w:rPr>
        <w:t>的组织展开专题研究，通过课例研磨使教师了解差异化的指导策略，让分层教学真正扎根于每一节常态课上。</w:t>
      </w:r>
    </w:p>
    <w:p w14:paraId="2365D2C3">
      <w:pPr>
        <w:keepNext w:val="0"/>
        <w:keepLines w:val="0"/>
        <w:pageBreakBefore w:val="0"/>
        <w:kinsoku/>
        <w:wordWrap/>
        <w:overflowPunct/>
        <w:topLinePunct w:val="0"/>
        <w:autoSpaceDE/>
        <w:autoSpaceDN/>
        <w:bidi w:val="0"/>
        <w:adjustRightInd/>
        <w:snapToGrid/>
        <w:spacing w:beforeAutospacing="0" w:afterAutospacing="0"/>
        <w:ind w:left="0" w:right="0" w:firstLine="420" w:firstLineChars="200"/>
        <w:textAlignment w:val="auto"/>
        <w:rPr>
          <w:rFonts w:ascii="宋体" w:eastAsia="宋体" w:hAnsi="宋体" w:cs="宋体" w:hint="eastAsia"/>
          <w:b w:val="0"/>
          <w:bCs/>
          <w:sz w:val="21"/>
          <w:szCs w:val="21"/>
        </w:rPr>
      </w:pPr>
      <w:r>
        <w:rPr>
          <w:rStyle w:val="Strong"/>
          <w:rFonts w:ascii="宋体" w:eastAsia="宋体" w:hAnsi="宋体" w:cs="宋体" w:hint="eastAsia"/>
          <w:b w:val="0"/>
          <w:bCs/>
          <w:sz w:val="21"/>
          <w:szCs w:val="21"/>
          <w:lang w:val="en-US" w:eastAsia="zh-CN"/>
        </w:rPr>
        <w:t>3.</w:t>
      </w:r>
      <w:r>
        <w:rPr>
          <w:rStyle w:val="Strong"/>
          <w:rFonts w:ascii="宋体" w:eastAsia="宋体" w:hAnsi="宋体" w:cs="宋体" w:hint="eastAsia"/>
          <w:b w:val="0"/>
          <w:bCs/>
          <w:sz w:val="21"/>
          <w:szCs w:val="21"/>
        </w:rPr>
        <w:t>规范研究资料的流程，创建过程性素材的档案。建立统一的资料收集清单，规定课堂观察记录、层级调整台账、访谈资料存档时间，并指派专人定期整理核对，保证后期数据研判、成果总结有可靠的数据支撑。</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A632A"/>
    <w:rsid w:val="68FA632A"/>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87</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2026-10-26T02:25:00Z</dcterms:created>
  <dcterms:modified xsi:type="dcterms:W3CDTF">2026-10-26T05:05:53Z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2E93905705A8422B8C8F17AB267BC2C8_11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