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56C2EA8">
      <w:pPr>
        <w:spacing w:line="340" w:lineRule="exact"/>
      </w:pPr>
      <w:r>
        <w:rPr>
          <w:rFonts w:ascii="黑体" w:eastAsia="黑体" w:hAnsi="黑体" w:hint="eastAsia"/>
          <w:b/>
          <w:sz w:val="20"/>
        </w:rPr>
        <w:t>摘要：</w:t>
      </w:r>
      <w:r>
        <w:rPr>
          <w:rFonts w:ascii="楷体" w:eastAsia="楷体" w:hAnsi="楷体" w:hint="eastAsia"/>
          <w:sz w:val="20"/>
        </w:rPr>
        <w:t>目的为研究按照循证医学思想建立个体化护理干预模式，并对神经外科重症监护病人实际效果及临床应用价值进行</w:t>
      </w:r>
      <w:r>
        <w:rPr>
          <w:rFonts w:ascii="楷体" w:eastAsia="楷体" w:hAnsi="楷体"/>
          <w:sz w:val="20"/>
        </w:rPr>
        <w:t>研究。将2024年1月～2025年12月本院神经外科重症监护病房收治的80例危重病人分成对照组和观察组，每组各40例。对照组做神经外科重症患者的常规基础护理；观察组以循证医学为指导，开展个体化护理干预措施。对两组病例的并发症发生率、住院时长、格拉斯哥昏迷评分（GCS），巴氏指数（BI），护理配合情况及家属对护理服务的满意度进行比较。观察组</w:t>
      </w:r>
      <w:r>
        <w:rPr>
          <w:rFonts w:ascii="楷体" w:eastAsia="楷体" w:hAnsi="楷体" w:hint="eastAsia"/>
          <w:sz w:val="20"/>
        </w:rPr>
        <w:t>并发症发生率总和为12.5%，明显比对照组低很多</w:t>
      </w:r>
      <w:r>
        <w:rPr>
          <w:rFonts w:ascii="楷体" w:eastAsia="楷体" w:hAnsi="楷体"/>
          <w:sz w:val="20"/>
        </w:rPr>
        <w:t>（P&lt;0.05），干预后观察组GCS评分、BI评分均高于对照组，住院时间比对照组短得多（P＜0.05）；观察组护理总配合度为95.00%，家属护理满意度得分为92.35±4.18分，两项指标均比对照组的77.50%、85.60±5.22分要高（P＜0.05）。结论在神经外科重症监护工作中采用循证导向的个体化护理干预，可以有效地降低各种并发症发生率，改善患者意识水平及躯体活动能力，提高患者</w:t>
      </w:r>
      <w:r>
        <w:rPr>
          <w:rFonts w:ascii="楷体" w:eastAsia="楷体" w:hAnsi="楷体" w:hint="eastAsia"/>
          <w:sz w:val="20"/>
        </w:rPr>
        <w:t>的护理依从性，改善家属满意度，缩短患者的康复时间，有较好的临床推广价值。</w:t>
      </w:r>
      <w:r>
        <w:rPr>
          <w:rFonts w:ascii="楷体" w:eastAsia="楷体" w:hAnsi="楷体" w:cs="MS Mincho" w:hint="eastAsia"/>
          <w:sz w:val="20"/>
        </w:rPr>
        <w:t>​</w:t>
      </w:r>
    </w:p>
    <w:p w14:paraId="560CC029">
      <w:pPr>
        <w:spacing w:line="340" w:lineRule="exact"/>
        <w:jc w:val="left"/>
      </w:pPr>
      <w:r>
        <w:rPr>
          <w:rFonts w:ascii="黑体" w:eastAsia="黑体" w:hAnsi="黑体" w:hint="eastAsia"/>
          <w:b/>
          <w:sz w:val="20"/>
        </w:rPr>
        <w:t>关键词：</w:t>
      </w:r>
      <w:r>
        <w:rPr>
          <w:rFonts w:ascii="楷体" w:eastAsia="楷体" w:hAnsi="楷体" w:hint="eastAsia"/>
          <w:sz w:val="20"/>
        </w:rPr>
        <w:t>循证护理；神经外科；重症护理；并发症；护理满意度</w:t>
      </w:r>
    </w:p>
    <w:p w14:paraId="2FE32DD7">
      <w:pPr>
        <w:adjustRightInd w:val="0"/>
        <w:spacing w:line="340" w:lineRule="exact"/>
        <w:jc w:val="left"/>
        <w:rPr>
          <w:rFonts w:ascii="Times New Roman" w:hAnsi="Times New Roman" w:cs="Times New Roman"/>
          <w:sz w:val="20"/>
        </w:rPr>
      </w:pPr>
      <w:r>
        <w:rPr>
          <w:rFonts w:ascii="黑体" w:eastAsia="黑体" w:hAnsi="黑体" w:hint="eastAsia"/>
          <w:b/>
          <w:sz w:val="20"/>
        </w:rPr>
        <w:t>中图分类号：</w:t>
      </w:r>
      <w:r>
        <w:rPr>
          <w:rFonts w:ascii="Times New Roman" w:hAnsi="Times New Roman" w:cs="Times New Roman"/>
          <w:sz w:val="20"/>
        </w:rPr>
        <w:t>R473</w:t>
      </w:r>
    </w:p>
    <w:p w14:paraId="7954CC42">
      <w:pPr>
        <w:adjustRightInd w:val="0"/>
        <w:spacing w:line="340" w:lineRule="exact"/>
        <w:jc w:val="left"/>
      </w:pPr>
    </w:p>
    <w:p w14:paraId="7D8AAB90">
      <w:pPr>
        <w:spacing w:line="340" w:lineRule="exact"/>
        <w:ind w:firstLine="400" w:firstLineChars="200"/>
        <w:rPr>
          <w:rFonts w:ascii="宋体" w:eastAsia="宋体" w:hAnsi="宋体"/>
          <w:sz w:val="20"/>
        </w:rPr>
        <w:sectPr>
          <w:headerReference w:type="even" r:id="rId4"/>
          <w:headerReference w:type="default" r:id="rId5"/>
          <w:footerReference w:type="even" r:id="rId6"/>
          <w:footerReference w:type="default" r:id="rId7"/>
          <w:headerReference w:type="first" r:id="rId8"/>
          <w:footerReference w:type="first" r:id="rId9"/>
          <w:pgSz w:w="11906" w:h="16838"/>
          <w:pgMar w:top="1440" w:right="1077" w:bottom="1440" w:left="1077" w:header="851" w:footer="992" w:gutter="0"/>
          <w:pgNumType w:fmt="numberInDash"/>
          <w:cols w:num="1" w:space="425"/>
          <w:titlePg/>
          <w:docGrid w:type="lines" w:linePitch="312" w:charSpace="0"/>
        </w:sectPr>
      </w:pPr>
    </w:p>
    <w:p w14:paraId="2920D534">
      <w:pPr>
        <w:spacing w:line="340" w:lineRule="exact"/>
        <w:ind w:firstLine="400" w:firstLineChars="200"/>
        <w:rPr>
          <w:rFonts w:ascii="宋体" w:eastAsia="宋体" w:hAnsi="宋体"/>
          <w:sz w:val="20"/>
        </w:rPr>
      </w:pPr>
      <w:r>
        <w:rPr>
          <w:rFonts w:ascii="宋体" w:eastAsia="宋体" w:hAnsi="宋体" w:hint="eastAsia"/>
          <w:sz w:val="20"/>
        </w:rPr>
        <w:t>神经外科重症监护室收治的是颅脑外伤严重、颅内出血、颅内肿瘤术后病情危重的病人，病情凶险、变化快，常伴有不同程度的意识障碍、肢体瘫痪、免疫功能低下、卧床时间长，容易导致肺部感染、深静脉血栓形成、压力性损伤等并发症，致残率和病死率高，对临床护理工作有较高的要求。传统的神经外科重症护理大多使用标准化、统一的护理流程，以生命体征的监测和医嘱的执行为主，护理措施千篇一律，缺少对患者的个体差异、身体承受能力及康复需要的考虑，护理缺乏针对性，风险控制滞后，康复护理零散化，不能使病人获得最佳的预后。循证护理是以临床问题为中心，以权威的科研证据为基础，结合临床经验和患者的个体情况来制定干预计划的新型护理模式，可以避免常规护理盲目性、随意性。目前循证个体化护理正在被越来越多地应用到重症护理各个领域，但是神经外科重症监护中标准的循证个体化护理应用体系以及远期获益还有待进一步的研究。因此本研究以80例神经外科重症患者为研究对象，用常规护理和循证个体化护理两种护理模式进行比较，为神经外科重症精细化护理干预提供科学合理的临床依据。</w:t>
      </w:r>
    </w:p>
    <w:p w14:paraId="4901559C">
      <w:pPr>
        <w:spacing w:line="340" w:lineRule="exact"/>
        <w:ind w:firstLine="400" w:firstLineChars="200"/>
        <w:rPr>
          <w:rFonts w:ascii="宋体" w:eastAsia="宋体" w:hAnsi="宋体"/>
          <w:sz w:val="20"/>
        </w:rPr>
      </w:pPr>
      <w:r>
        <w:rPr>
          <w:rFonts w:ascii="宋体" w:eastAsia="宋体" w:hAnsi="宋体" w:cs="MS Mincho" w:hint="eastAsia"/>
          <w:sz w:val="20"/>
        </w:rPr>
        <w:t>​</w:t>
      </w:r>
      <w:r>
        <w:rPr>
          <w:rFonts w:ascii="宋体" w:eastAsia="宋体" w:hAnsi="宋体" w:hint="eastAsia"/>
          <w:sz w:val="20"/>
        </w:rPr>
        <w:t>1 资料与方法</w:t>
      </w:r>
      <w:r>
        <w:rPr>
          <w:rFonts w:ascii="宋体" w:eastAsia="宋体" w:hAnsi="宋体" w:cs="MS Mincho" w:hint="eastAsia"/>
          <w:sz w:val="20"/>
        </w:rPr>
        <w:t>​</w:t>
      </w:r>
    </w:p>
    <w:p w14:paraId="45449F7D">
      <w:pPr>
        <w:adjustRightInd w:val="0"/>
        <w:spacing w:before="40" w:after="20" w:line="360" w:lineRule="exact"/>
        <w:jc w:val="left"/>
        <w:rPr>
          <w:rFonts w:ascii="黑体" w:eastAsia="黑体" w:hAnsi="黑体"/>
          <w:sz w:val="22"/>
        </w:rPr>
      </w:pPr>
      <w:r>
        <w:rPr>
          <w:rFonts w:ascii="黑体" w:eastAsia="黑体" w:hAnsi="黑体" w:hint="eastAsia"/>
          <w:sz w:val="22"/>
        </w:rPr>
        <w:t>1.1 一般资料</w:t>
      </w:r>
      <w:r>
        <w:rPr>
          <w:rFonts w:ascii="黑体" w:eastAsia="黑体" w:hAnsi="黑体" w:cs="MS Mincho" w:hint="eastAsia"/>
          <w:sz w:val="22"/>
        </w:rPr>
        <w:t>​</w:t>
      </w:r>
    </w:p>
    <w:p w14:paraId="08347581">
      <w:pPr>
        <w:spacing w:line="340" w:lineRule="exact"/>
        <w:ind w:firstLine="400" w:firstLineChars="200"/>
        <w:rPr>
          <w:rFonts w:ascii="宋体" w:eastAsia="宋体" w:hAnsi="宋体"/>
          <w:sz w:val="20"/>
        </w:rPr>
      </w:pPr>
      <w:r>
        <w:rPr>
          <w:rFonts w:ascii="宋体" w:eastAsia="宋体" w:hAnsi="宋体" w:hint="eastAsia"/>
          <w:sz w:val="20"/>
        </w:rPr>
        <w:t>从我院神经外科重症监护病房收治的重症病人中选择80例作为本次研究对象，研究时间为202X年X月至202X年X月。用随机数字表法将病人随机分成两组，每组40例。对照组男22例，女18例，年龄28～72岁，平均（50.36±6.85）岁，疾病类型：脑出血16例，脑梗死12例，颅脑外伤10例，颅内肿瘤术后2例；观察组男21例，女19例，年龄26～73岁，平均（49.85±7.12）岁，疾病类型：脑出血15例，脑梗死13例，颅脑外伤9例，颅内肿瘤术后3例。两组患者年龄、性别、病种等各方面基本资料差异无统计学意义（P＞0.05），适合做临床比较。本次研究在医院医学伦理委员会的批准下进行，病人及家属都签了知情同意书。</w:t>
      </w:r>
    </w:p>
    <w:p w14:paraId="5F40A282">
      <w:pPr>
        <w:spacing w:line="340" w:lineRule="exact"/>
        <w:ind w:firstLine="400" w:firstLineChars="200"/>
        <w:rPr>
          <w:rFonts w:ascii="宋体" w:eastAsia="宋体" w:hAnsi="宋体"/>
          <w:sz w:val="20"/>
        </w:rPr>
      </w:pPr>
      <w:r>
        <w:rPr>
          <w:rFonts w:ascii="宋体" w:eastAsia="宋体" w:hAnsi="宋体" w:hint="eastAsia"/>
          <w:sz w:val="20"/>
        </w:rPr>
        <w:t>纳入标准为入住神经外科重症监护室时间≥4周的患者，经影像学确诊为神经外科重症疾病，病情稳定，无临终表现，临床资料完整，能配合本次研究观察。</w:t>
      </w:r>
    </w:p>
    <w:p w14:paraId="4C050394">
      <w:pPr>
        <w:spacing w:line="340" w:lineRule="exact"/>
        <w:ind w:firstLine="400" w:firstLineChars="200"/>
        <w:rPr>
          <w:rFonts w:ascii="宋体" w:eastAsia="宋体" w:hAnsi="宋体"/>
          <w:sz w:val="20"/>
        </w:rPr>
      </w:pPr>
      <w:r>
        <w:rPr>
          <w:rFonts w:ascii="宋体" w:eastAsia="宋体" w:hAnsi="宋体" w:hint="eastAsia"/>
          <w:sz w:val="20"/>
        </w:rPr>
        <w:t>排除标准为合并严重肝肾功能衰竭、凝血功能障碍、全身感染性疾病；合并精神疾病、认知功能障碍不能配合护理；中途转院、放弃治疗或死亡的患者。</w:t>
      </w:r>
      <w:r>
        <w:rPr>
          <w:rFonts w:ascii="宋体" w:eastAsia="宋体" w:hAnsi="宋体" w:cs="MS Mincho" w:hint="eastAsia"/>
          <w:sz w:val="20"/>
        </w:rPr>
        <w:t>​</w:t>
      </w:r>
    </w:p>
    <w:p w14:paraId="346DFDB0">
      <w:pPr>
        <w:adjustRightInd w:val="0"/>
        <w:spacing w:before="40" w:after="20" w:line="360" w:lineRule="exact"/>
        <w:jc w:val="left"/>
        <w:rPr>
          <w:rFonts w:ascii="黑体" w:eastAsia="黑体" w:hAnsi="黑体"/>
          <w:sz w:val="22"/>
        </w:rPr>
      </w:pPr>
      <w:r>
        <w:rPr>
          <w:rFonts w:ascii="黑体" w:eastAsia="黑体" w:hAnsi="黑体" w:hint="eastAsia"/>
          <w:sz w:val="22"/>
        </w:rPr>
        <w:t>1.2 方法</w:t>
      </w:r>
      <w:r>
        <w:rPr>
          <w:rFonts w:ascii="黑体" w:eastAsia="黑体" w:hAnsi="黑体" w:cs="MS Mincho" w:hint="eastAsia"/>
          <w:sz w:val="22"/>
        </w:rPr>
        <w:t>​</w:t>
      </w:r>
    </w:p>
    <w:p w14:paraId="39F18DB0">
      <w:pPr>
        <w:spacing w:line="340" w:lineRule="exact"/>
        <w:ind w:firstLine="400" w:firstLineChars="200"/>
        <w:rPr>
          <w:rFonts w:ascii="宋体" w:eastAsia="宋体" w:hAnsi="宋体"/>
          <w:sz w:val="20"/>
        </w:rPr>
      </w:pPr>
      <w:r>
        <w:rPr>
          <w:rFonts w:ascii="宋体" w:eastAsia="宋体" w:hAnsi="宋体" w:hint="eastAsia"/>
          <w:sz w:val="20"/>
        </w:rPr>
        <w:t>对照组采用神经外科重症常规护理模式，即对患者的体温、血压、心率、血氧饱和度进行严密观察，仔细观察瞳孔、意识有无改变，严格执行医嘱给药、吸氧、脱水降颅压等基本治疗护理，定时翻身、叩背、清洁皮肤，做好口腔、气道、尿道基本护理，做好压疮、肺部感染等常见并发症的预防工作，对患者及家属做基础健康宣教。</w:t>
      </w:r>
    </w:p>
    <w:p w14:paraId="6716A093">
      <w:pPr>
        <w:spacing w:line="340" w:lineRule="exact"/>
        <w:ind w:firstLine="400" w:firstLineChars="200"/>
        <w:rPr>
          <w:rFonts w:ascii="宋体" w:eastAsia="宋体" w:hAnsi="宋体"/>
          <w:sz w:val="20"/>
        </w:rPr>
      </w:pPr>
      <w:r>
        <w:rPr>
          <w:rFonts w:ascii="宋体" w:eastAsia="宋体" w:hAnsi="宋体" w:hint="eastAsia"/>
          <w:sz w:val="20"/>
        </w:rPr>
        <w:t>观察组在常规护理的基础上采用循证护理理念制订个性化的护理计划，具体的执行情况如图1-1所示。①循证问题的确定。以神经外科重症患者的病情危重、病情变化快、并发症多、康复时间长等特点为基础，总结临床护理过程中出现的主要问题，主要围绕并发症预防、意识功能改善、躯体康复干预、护理依从性提高、家属护理配合这五个方面进行循证研究。②循证证据的检索和筛选。在进行检索时以中国知网、万方、维普等医学数据库中有关神经外科重症护理、循证护理、个体化干预的高质量文献、临床指南、专家共识为主要来源，并对检索结果进行科学、可行、适合本院护理条件的干预证据的选择和剔除，排除陈旧、低质量的研究。③制定个体化的护理计划。根据患者病情，年龄，意识情况，身体功能，基础疾病及患者耐受情况制定有目的、有差异的护理计划。昏迷病人用改善气道管理方案，定时气道湿化，吸痰，根据病人卧床危险程度调节翻身次数，预防肺部感染、压力性损伤，肢体活动受限病人制定分阶段肢体康复锻炼计划，早期做被动肢体活动，病情稳定以后转为主动训练，预防深静脉血栓形成，意识不清、依从性低的病人用温和的交流、舒适的体位、家属配合提高病人配合度，根据病情变化随时调整护理计划，做到全程个体化干预。④方案落实和质量控制。以专科护士为组长的护理组，统一开展循证护理的理念与操作规范的培训，实施个体化护理措施并及时对患者的病情及护理成果做出评定，对护理的细节做出相应调整，保证护理方案的有效执行。</w:t>
      </w:r>
    </w:p>
    <w:p w14:paraId="270E2D9A">
      <w:pPr>
        <w:adjustRightInd w:val="0"/>
        <w:spacing w:before="40" w:after="20" w:line="360" w:lineRule="exact"/>
        <w:jc w:val="left"/>
        <w:rPr>
          <w:rFonts w:ascii="黑体" w:eastAsia="黑体" w:hAnsi="黑体"/>
          <w:sz w:val="22"/>
        </w:rPr>
      </w:pPr>
      <w:r>
        <w:rPr>
          <w:rFonts w:ascii="黑体" w:eastAsia="黑体" w:hAnsi="黑体" w:hint="eastAsia"/>
          <w:sz w:val="22"/>
        </w:rPr>
        <w:t>1.3 观察指标</w:t>
      </w:r>
      <w:r>
        <w:rPr>
          <w:rFonts w:ascii="黑体" w:eastAsia="黑体" w:hAnsi="黑体" w:cs="MS Mincho" w:hint="eastAsia"/>
          <w:sz w:val="22"/>
        </w:rPr>
        <w:t>​</w:t>
      </w:r>
    </w:p>
    <w:p w14:paraId="4C282243">
      <w:pPr>
        <w:spacing w:line="340" w:lineRule="exact"/>
        <w:ind w:firstLine="400" w:firstLineChars="200"/>
        <w:rPr>
          <w:rFonts w:ascii="宋体" w:eastAsia="宋体" w:hAnsi="宋体"/>
          <w:sz w:val="20"/>
        </w:rPr>
      </w:pPr>
      <w:r>
        <w:rPr>
          <w:rFonts w:ascii="宋体" w:eastAsia="宋体" w:hAnsi="宋体" w:hint="eastAsia"/>
          <w:sz w:val="20"/>
        </w:rPr>
        <w:t>①并发症发生情况：</w:t>
      </w:r>
      <w:r>
        <w:rPr>
          <w:rFonts w:ascii="宋体" w:eastAsia="宋体" w:hAnsi="宋体" w:hint="eastAsia"/>
          <w:sz w:val="20"/>
        </w:rPr>
        <w:t>统计两组受试者接受护理干预前后颅内感染、肺部感染、下肢深静脉血栓、压力性损伤、泌尿系统感染发生例数，计算出并发症的总体发生率。</w:t>
      </w:r>
    </w:p>
    <w:p w14:paraId="75FC6112">
      <w:pPr>
        <w:spacing w:line="340" w:lineRule="exact"/>
        <w:ind w:firstLine="400" w:firstLineChars="200"/>
        <w:rPr>
          <w:rFonts w:ascii="宋体" w:eastAsia="宋体" w:hAnsi="宋体"/>
          <w:sz w:val="20"/>
        </w:rPr>
      </w:pPr>
      <w:r>
        <w:rPr>
          <w:rFonts w:ascii="宋体" w:eastAsia="宋体" w:hAnsi="宋体" w:hint="eastAsia"/>
          <w:sz w:val="20"/>
        </w:rPr>
        <w:t>②康复相关观测指标：</w:t>
      </w:r>
      <w:r>
        <w:rPr>
          <w:rFonts w:ascii="宋体" w:eastAsia="宋体" w:hAnsi="宋体" w:hint="eastAsia"/>
          <w:sz w:val="20"/>
        </w:rPr>
        <w:t>分别在干预开始前、干预结</w:t>
      </w:r>
      <w:r>
        <w:rPr>
          <w:rFonts w:ascii="宋体" w:eastAsia="宋体" w:hAnsi="宋体"/>
          <w:sz w:val="20"/>
        </w:rPr>
        <w:t>束4周</w:t>
      </w:r>
      <w:r>
        <w:rPr>
          <w:rFonts w:ascii="宋体" w:eastAsia="宋体" w:hAnsi="宋体" w:hint="eastAsia"/>
          <w:sz w:val="20"/>
        </w:rPr>
        <w:t>时对受试者GCS格拉斯哥</w:t>
      </w:r>
      <w:r>
        <w:rPr>
          <w:rFonts w:ascii="宋体" w:eastAsia="宋体" w:hAnsi="宋体"/>
          <w:sz w:val="20"/>
        </w:rPr>
        <w:t>昏迷评分进</w:t>
      </w:r>
      <w:r>
        <w:rPr>
          <w:rFonts w:ascii="宋体" w:eastAsia="宋体" w:hAnsi="宋体" w:hint="eastAsia"/>
          <w:sz w:val="20"/>
        </w:rPr>
        <w:t>行评价，GCS格拉斯哥昏迷评分量表</w:t>
      </w:r>
      <w:r>
        <w:rPr>
          <w:rFonts w:ascii="宋体" w:eastAsia="宋体" w:hAnsi="宋体"/>
          <w:sz w:val="20"/>
        </w:rPr>
        <w:t>分为</w:t>
      </w:r>
      <w:r>
        <w:rPr>
          <w:rFonts w:ascii="宋体" w:eastAsia="宋体" w:hAnsi="宋体" w:cs="MS Mincho" w:hint="eastAsia"/>
          <w:sz w:val="20"/>
        </w:rPr>
        <w:t>3</w:t>
      </w:r>
      <w:r>
        <w:rPr>
          <w:rFonts w:ascii="宋体" w:eastAsia="宋体" w:hAnsi="宋体"/>
          <w:sz w:val="20"/>
        </w:rPr>
        <w:t>到1</w:t>
      </w:r>
      <w:r>
        <w:rPr>
          <w:rFonts w:ascii="宋体" w:eastAsia="宋体" w:hAnsi="宋体" w:hint="eastAsia"/>
          <w:sz w:val="20"/>
        </w:rPr>
        <w:t>5分，评分越高说明患者的意识恢复情况越好，同时记录两组研究对象重症监护停留时间以及住院总时间。</w:t>
      </w:r>
    </w:p>
    <w:p w14:paraId="19B839A2">
      <w:pPr>
        <w:spacing w:line="340" w:lineRule="exact"/>
        <w:ind w:firstLine="400" w:firstLineChars="200"/>
        <w:rPr>
          <w:rFonts w:ascii="宋体" w:eastAsia="宋体" w:hAnsi="宋体"/>
          <w:sz w:val="20"/>
        </w:rPr>
      </w:pPr>
      <w:r>
        <w:rPr>
          <w:rFonts w:ascii="宋体" w:eastAsia="宋体" w:hAnsi="宋体" w:hint="eastAsia"/>
          <w:sz w:val="20"/>
        </w:rPr>
        <w:t>③躯体功能评估：</w:t>
      </w:r>
      <w:r>
        <w:rPr>
          <w:rFonts w:ascii="宋体" w:eastAsia="宋体" w:hAnsi="宋体" w:hint="eastAsia"/>
          <w:sz w:val="20"/>
        </w:rPr>
        <w:t>用巴氏指数（BI）评定受试者日常生活活动水平，量表总分</w:t>
      </w:r>
      <w:r>
        <w:rPr>
          <w:rFonts w:ascii="宋体" w:eastAsia="宋体" w:hAnsi="宋体"/>
          <w:sz w:val="20"/>
        </w:rPr>
        <w:t>0-</w:t>
      </w:r>
      <w:r>
        <w:rPr>
          <w:rFonts w:ascii="宋体" w:eastAsia="宋体" w:hAnsi="宋体" w:hint="eastAsia"/>
          <w:sz w:val="20"/>
        </w:rPr>
        <w:t>1</w:t>
      </w:r>
      <w:r>
        <w:rPr>
          <w:rFonts w:ascii="宋体" w:eastAsia="宋体" w:hAnsi="宋体"/>
          <w:sz w:val="20"/>
        </w:rPr>
        <w:t>00分</w:t>
      </w:r>
      <w:r>
        <w:rPr>
          <w:rFonts w:ascii="宋体" w:eastAsia="宋体" w:hAnsi="宋体" w:hint="eastAsia"/>
          <w:sz w:val="20"/>
        </w:rPr>
        <w:t>，量表得分越高，机体活动能力及自我照护水平就越好。</w:t>
      </w:r>
    </w:p>
    <w:p w14:paraId="2B126E80">
      <w:pPr>
        <w:spacing w:line="340" w:lineRule="exact"/>
        <w:ind w:firstLine="400" w:firstLineChars="200"/>
        <w:rPr>
          <w:rFonts w:ascii="宋体" w:eastAsia="宋体" w:hAnsi="宋体"/>
          <w:sz w:val="20"/>
        </w:rPr>
      </w:pPr>
      <w:r>
        <w:rPr>
          <w:rFonts w:ascii="宋体" w:eastAsia="宋体" w:hAnsi="宋体" w:hint="eastAsia"/>
          <w:sz w:val="20"/>
        </w:rPr>
        <w:t>④护理依从水平：</w:t>
      </w:r>
      <w:r>
        <w:rPr>
          <w:rFonts w:ascii="宋体" w:eastAsia="宋体" w:hAnsi="宋体" w:hint="eastAsia"/>
          <w:sz w:val="20"/>
        </w:rPr>
        <w:t>按照受试者对护理工作配合程度分为三个等级，完全依从、部分依从、不依从。完全依从指的是患者可以配合进行所有的护理措施和康复训练，部分依从指大体上可以配合工作，偶尔会有抗拒行为，不依从是指经常有抗拒的行为，不配合完成有关护理及康复的内容。</w:t>
      </w:r>
    </w:p>
    <w:p w14:paraId="35811637">
      <w:pPr>
        <w:spacing w:line="340" w:lineRule="exact"/>
        <w:ind w:firstLine="400" w:firstLineChars="200"/>
        <w:rPr>
          <w:rFonts w:ascii="宋体" w:eastAsia="宋体" w:hAnsi="宋体"/>
          <w:sz w:val="20"/>
        </w:rPr>
      </w:pPr>
      <w:r>
        <w:rPr>
          <w:rFonts w:ascii="宋体" w:eastAsia="宋体" w:hAnsi="宋体" w:hint="eastAsia"/>
          <w:sz w:val="20"/>
        </w:rPr>
        <w:t>⑤护理满意程度：</w:t>
      </w:r>
      <w:r>
        <w:rPr>
          <w:rFonts w:ascii="宋体" w:eastAsia="宋体" w:hAnsi="宋体" w:hint="eastAsia"/>
          <w:sz w:val="20"/>
        </w:rPr>
        <w:t>使用本院自行设计的满意度测评量表，对患者的家属做护理服务评价，量表总分值</w:t>
      </w:r>
      <w:r>
        <w:rPr>
          <w:rFonts w:ascii="宋体" w:eastAsia="宋体" w:hAnsi="宋体"/>
          <w:sz w:val="20"/>
        </w:rPr>
        <w:t>为0</w:t>
      </w:r>
      <w:r>
        <w:rPr>
          <w:rFonts w:ascii="宋体" w:eastAsia="宋体" w:hAnsi="宋体" w:hint="eastAsia"/>
          <w:sz w:val="20"/>
        </w:rPr>
        <w:t>～</w:t>
      </w:r>
      <w:r>
        <w:rPr>
          <w:rFonts w:ascii="宋体" w:eastAsia="宋体" w:hAnsi="宋体"/>
          <w:sz w:val="20"/>
        </w:rPr>
        <w:t>100</w:t>
      </w:r>
      <w:r>
        <w:rPr>
          <w:rFonts w:ascii="宋体" w:eastAsia="宋体" w:hAnsi="宋体" w:hint="eastAsia"/>
          <w:sz w:val="20"/>
        </w:rPr>
        <w:t>分，量表总分越高，家属对护理服务的认可度就越高。</w:t>
      </w:r>
    </w:p>
    <w:p w14:paraId="2FA72810">
      <w:pPr>
        <w:adjustRightInd w:val="0"/>
        <w:spacing w:before="100" w:after="60" w:line="360" w:lineRule="exact"/>
        <w:jc w:val="left"/>
        <w:rPr>
          <w:rFonts w:ascii="黑体" w:eastAsia="黑体" w:hAnsi="黑体"/>
          <w:sz w:val="24"/>
        </w:rPr>
      </w:pPr>
      <w:r>
        <w:rPr>
          <w:rFonts w:ascii="黑体" w:eastAsia="黑体" w:hAnsi="黑体" w:hint="eastAsia"/>
          <w:sz w:val="24"/>
        </w:rPr>
        <w:t>3 讨论</w:t>
      </w:r>
      <w:r>
        <w:rPr>
          <w:rFonts w:ascii="黑体" w:eastAsia="黑体" w:hAnsi="黑体" w:cs="MS Mincho" w:hint="eastAsia"/>
          <w:sz w:val="24"/>
        </w:rPr>
        <w:t>​</w:t>
      </w:r>
    </w:p>
    <w:p w14:paraId="0C3ED80A">
      <w:pPr>
        <w:spacing w:line="340" w:lineRule="exact"/>
        <w:ind w:firstLine="400" w:firstLineChars="200"/>
        <w:rPr>
          <w:rFonts w:ascii="宋体" w:eastAsia="宋体" w:hAnsi="宋体"/>
          <w:sz w:val="20"/>
        </w:rPr>
      </w:pPr>
      <w:r>
        <w:rPr>
          <w:rFonts w:ascii="宋体" w:eastAsia="宋体" w:hAnsi="宋体" w:hint="eastAsia"/>
          <w:sz w:val="20"/>
        </w:rPr>
        <w:t>神经外科重症病人大多患有脑出血、颅脑外伤、颅内肿瘤等严重疾病，病人多有意识障碍、肢体活动受限、生命体征不稳等共性特点，病情发展迅速、并发症多、康复困难，是临床护理工作的重点和难点。常规重症护理多采取统一化、程序化的干预方式，重基础生命体征观察及医嘱执行，少对患者个体病情及身体状况做有针对性的干预，不能很好地预防、控制护理风险，也不能满足患者不同的康复需要，容易造成护理差错，使肺部感染、压疮、深静脉血栓等并发症频发，既会减慢病人康复的速度，也会增加临床治疗的难度以及医疗费用。为了提升神经外科重症护理质量，改善患者的预后，本次研究运用循证护理，依据患者个体差异而制订个性化护理方案，探寻循证护理在临床护理中的实际价值。</w:t>
      </w:r>
    </w:p>
    <w:p w14:paraId="4BD0F61C">
      <w:pPr>
        <w:spacing w:line="340" w:lineRule="exact"/>
        <w:ind w:firstLine="400" w:firstLineChars="200"/>
        <w:rPr>
          <w:rFonts w:ascii="宋体" w:eastAsia="宋体" w:hAnsi="宋体"/>
          <w:sz w:val="20"/>
        </w:rPr>
      </w:pPr>
      <w:r>
        <w:rPr>
          <w:rFonts w:ascii="宋体" w:eastAsia="宋体" w:hAnsi="宋体" w:hint="eastAsia"/>
          <w:sz w:val="20"/>
        </w:rPr>
        <w:t>从本次研究结果可知，观察组患者并发症发生率比对照组低，体现了循证个体化护理在预防并发症方面的突出特点。循证护理是从临床真实问题出发，对神经外科重症患者各种并发症发生的危险因素进行系统的整理，并抛弃常规护理中泛化的干预手段，根据患者卧床时长、意识水平、肢体活动能力、插管情况等不同情况，制订出有针对性的预防方法。对长期卧床、昏迷病人加强气道管理，有需要时做吸痰，定时湿化，防止肺部感染；对有压疮危险的病人根据病情变化调整翻身、减压次数，减少压疮发生率；对肢体瘫痪、活动受限病人做早期梯度康复锻炼及肢体按摩，降低深静脉血栓形成率，从根本上降低并发症发生的概率。</w:t>
      </w:r>
    </w:p>
    <w:p w14:paraId="4B1E8FB6">
      <w:pPr>
        <w:spacing w:line="340" w:lineRule="exact"/>
        <w:ind w:firstLine="400" w:firstLineChars="200"/>
        <w:rPr>
          <w:rFonts w:ascii="宋体" w:eastAsia="宋体" w:hAnsi="宋体"/>
          <w:sz w:val="20"/>
        </w:rPr>
      </w:pPr>
      <w:r>
        <w:rPr>
          <w:rFonts w:ascii="宋体" w:eastAsia="宋体" w:hAnsi="宋体" w:hint="eastAsia"/>
          <w:sz w:val="20"/>
        </w:rPr>
        <w:t>从患者康复效果看，本研究的实验组GCS评分、BI指数明显比对照组高，住院时间比对照组短。GCS评分可以反映颅脑损伤病人意识恢复的好坏，BI指数是患者生活自理能力的反映。循证个体化护理冲破了常规护理固定的干预节奏，根据患者的意识恢复速度和身体耐受程度来调节护理和康复方案，给意识障碍患者做感官刺激、病情准确观察，促进脑神经功能的恢复，给躯体功能障碍患者做早期、科学的康复干预，防止长期卧床造成的功能衰退，加快患者意识的恢复以及躯体功能的重建，缩短整体住院康复周期，提高康复效果。</w:t>
      </w:r>
    </w:p>
    <w:p w14:paraId="260EC895">
      <w:pPr>
        <w:spacing w:line="340" w:lineRule="exact"/>
        <w:ind w:firstLine="400" w:firstLineChars="200"/>
        <w:rPr>
          <w:rFonts w:ascii="宋体" w:eastAsia="宋体" w:hAnsi="宋体"/>
          <w:sz w:val="20"/>
        </w:rPr>
      </w:pPr>
      <w:r>
        <w:rPr>
          <w:rFonts w:ascii="宋体" w:eastAsia="宋体" w:hAnsi="宋体" w:hint="eastAsia"/>
          <w:sz w:val="20"/>
        </w:rPr>
        <w:t>从结果可以看出，观察组患者的护理依从率和家属护理满意度均比对照组高。神经外科重症病人多数有意识不清、身体不适的症状，容易产生抵触护理的情绪，常规护理缺少人文关怀以及个性化沟通的干预。循证个体化护理是依据患者个人感受、家属需求来执行临床干预的，对于依从性低的患者使用温和、适宜的方式进行沟通引导，以提高患者的依从性，同时定期向患者告知病情、护理方案及康复状况，并对家属进行有针对性的健康指导，缓解家属的焦虑情绪，提升家属对于护理工作的认同感与配合度，构建良好的护患关系。</w:t>
      </w:r>
    </w:p>
    <w:p w14:paraId="37435F01">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50DD526">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ADF669B">
    <w:pPr>
      <w:spacing w:line="240" w:lineRule="exact"/>
      <w:jc w:val="right"/>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94E6DBE">
    <w:pPr>
      <w:snapToGrid w:val="0"/>
      <w:spacing w:line="240" w:lineRule="exact"/>
      <w:jc w:val="left"/>
      <w:rPr>
        <w:rFonts w:ascii="楷体" w:eastAsia="楷体" w:hAnsi="楷体" w:cs="Calibri"/>
        <w:sz w:val="18"/>
        <w:szCs w:val="18"/>
      </w:rPr>
    </w:pPr>
  </w:p>
  <w:p w14:paraId="5DADBA26">
    <w:pPr>
      <w:snapToGrid w:val="0"/>
      <w:spacing w:line="240" w:lineRule="exact"/>
      <w:jc w:val="left"/>
      <w:rPr>
        <w:rFonts w:ascii="楷体" w:eastAsia="楷体" w:hAnsi="楷体" w:cs="Calibri" w:hint="eastAsia"/>
        <w:sz w:val="18"/>
        <w:szCs w:val="18"/>
      </w:rPr>
    </w:pPr>
    <w:r>
      <w:rPr>
        <w:rFonts w:ascii="楷体" w:eastAsia="楷体" w:hAnsi="楷体" w:cs="Calibri" w:hint="eastAsia"/>
        <w:sz w:val="18"/>
        <w:szCs w:val="18"/>
      </w:rPr>
      <w:t>作者简介：陈凤（1988—），女，汉族，内蒙古呼和浩特人，本科学历，研究方向为神经外科，中级职称，内蒙古自治区人民医院神经外科主管护师。</w:t>
    </w:r>
  </w:p>
  <w:p w14:paraId="65FA8E1C">
    <w:pPr>
      <w:snapToGrid w:val="0"/>
      <w:spacing w:line="240" w:lineRule="exact"/>
      <w:jc w:val="left"/>
      <w:rPr>
        <w:rFonts w:ascii="楷体" w:eastAsia="楷体" w:hAnsi="楷体"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55B0A87">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中文科技期刊数据库（引文版）医药卫生</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4DBCAF5">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中文科技期刊数据库（引文版）医药卫生</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AFBD5E5">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中文科技期刊数据库（引文版）医药卫生</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319D12D2"/>
    <w:rsid w:val="68BB3E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4752</Words>
  <Characters>4825</Characters>
  <Application>Microsoft Office Word</Application>
  <DocSecurity>0</DocSecurity>
  <Lines>0</Lines>
  <Paragraphs>0</Paragraphs>
  <ScaleCrop>false</ScaleCrop>
  <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2026-10-26T01:01:00Z</dcterms:created>
  <dcterms:modified xsi:type="dcterms:W3CDTF">2026-10-26T02:29:33Z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974CED1A503B417784071E26731C6192_12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