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32F6788">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color w:val="FF0000"/>
          <w:sz w:val="21"/>
          <w:szCs w:val="21"/>
          <w:highlight w:val="none"/>
        </w:rPr>
      </w:pPr>
      <w:r>
        <w:rPr>
          <w:rFonts w:cs="宋体" w:hint="eastAsia"/>
          <w:b w:val="0"/>
          <w:bCs w:val="0"/>
          <w:color w:val="FF0000"/>
          <w:sz w:val="21"/>
          <w:szCs w:val="21"/>
          <w:highlight w:val="none"/>
          <w:lang w:val="en-US" w:eastAsia="zh-CN"/>
        </w:rPr>
        <w:t>（二）</w:t>
      </w:r>
      <w:r>
        <w:rPr>
          <w:rFonts w:ascii="宋体" w:eastAsia="宋体" w:hAnsi="宋体" w:cs="宋体" w:hint="eastAsia"/>
          <w:b w:val="0"/>
          <w:bCs w:val="0"/>
          <w:color w:val="FF0000"/>
          <w:sz w:val="21"/>
          <w:szCs w:val="21"/>
          <w:highlight w:val="none"/>
        </w:rPr>
        <w:t>二者内在关联</w:t>
      </w:r>
    </w:p>
    <w:p w14:paraId="7E9C931C">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color w:val="auto"/>
          <w:sz w:val="21"/>
          <w:szCs w:val="21"/>
          <w:highlight w:val="none"/>
        </w:rPr>
      </w:pPr>
      <w:r>
        <w:rPr>
          <w:rFonts w:ascii="宋体" w:eastAsia="宋体" w:hAnsi="宋体" w:cs="宋体" w:hint="eastAsia"/>
          <w:b w:val="0"/>
          <w:bCs w:val="0"/>
          <w:color w:val="FF0000"/>
          <w:kern w:val="0"/>
          <w:sz w:val="21"/>
          <w:szCs w:val="21"/>
          <w:highlight w:val="none"/>
          <w:lang w:val="en-US" w:eastAsia="zh-CN" w:bidi="ar"/>
        </w:rPr>
        <w:t>财务监督与内部控制具有很强的互补性以及依存性，两个体系的控制目的高度一致，都是为了规范企业的经营行为，规避经营风险，促进企业持续发展。内部控制给财会监督的落实提供完备的制度支持和流程保障，企业建立的内控体系可以清楚地界定财会监督的工作程序、权限界限、控制标准，使财会监督工作不再处于无序化、碎片化的状态，大大提高财会监督的规范化程度和准确性。财会监督可以反向反哺内部控制的持续优化，常态化的财会监督工作，可以快速找出内控制度运转过程中出现的漏洞、缺陷和空白地带，马上可以找到内控执行不到位、流程不规范等问题，给内控体系的升级迭代提供客观真实的数据支撑和问题导向。二者的工作范围重合度很高，在业务开展过程中可以达到资源共享、流程互通的目的，有利于企业内部管控、资源浪费等状况的发生，使企业内部治理的效率得到提升。</w:t>
      </w:r>
    </w:p>
    <w:p w14:paraId="5CA0E692">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color w:val="auto"/>
          <w:sz w:val="21"/>
          <w:szCs w:val="21"/>
          <w:highlight w:val="none"/>
        </w:rPr>
      </w:pPr>
      <w:r>
        <w:rPr>
          <w:rFonts w:cs="宋体" w:hint="eastAsia"/>
          <w:b w:val="0"/>
          <w:bCs w:val="0"/>
          <w:color w:val="auto"/>
          <w:sz w:val="21"/>
          <w:szCs w:val="21"/>
          <w:highlight w:val="none"/>
          <w:lang w:val="en-US" w:eastAsia="zh-CN"/>
        </w:rPr>
        <w:t>二、</w:t>
      </w:r>
      <w:r>
        <w:rPr>
          <w:rFonts w:ascii="宋体" w:eastAsia="宋体" w:hAnsi="宋体" w:cs="宋体" w:hint="eastAsia"/>
          <w:b w:val="0"/>
          <w:bCs w:val="0"/>
          <w:color w:val="auto"/>
          <w:sz w:val="21"/>
          <w:szCs w:val="21"/>
          <w:highlight w:val="none"/>
        </w:rPr>
        <w:t>企业财会监督与内部控制协同发展的现存问题</w:t>
      </w:r>
    </w:p>
    <w:p w14:paraId="16B682C9">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color w:val="FF0000"/>
          <w:sz w:val="21"/>
          <w:szCs w:val="21"/>
          <w:highlight w:val="none"/>
        </w:rPr>
      </w:pPr>
      <w:r>
        <w:rPr>
          <w:rFonts w:cs="宋体" w:hint="eastAsia"/>
          <w:b w:val="0"/>
          <w:bCs w:val="0"/>
          <w:color w:val="FF0000"/>
          <w:sz w:val="21"/>
          <w:szCs w:val="21"/>
          <w:highlight w:val="none"/>
          <w:lang w:val="en-US" w:eastAsia="zh-CN"/>
        </w:rPr>
        <w:t>（一）</w:t>
      </w:r>
      <w:r>
        <w:rPr>
          <w:rFonts w:ascii="宋体" w:eastAsia="宋体" w:hAnsi="宋体" w:cs="宋体" w:hint="eastAsia"/>
          <w:b w:val="0"/>
          <w:bCs w:val="0"/>
          <w:color w:val="FF0000"/>
          <w:sz w:val="21"/>
          <w:szCs w:val="21"/>
          <w:highlight w:val="none"/>
        </w:rPr>
        <w:t>协同发展理念薄弱，认知存在偏差</w:t>
      </w:r>
    </w:p>
    <w:p w14:paraId="776130E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color w:val="FF0000"/>
          <w:sz w:val="21"/>
          <w:szCs w:val="21"/>
          <w:highlight w:val="none"/>
        </w:rPr>
      </w:pPr>
      <w:r>
        <w:rPr>
          <w:rStyle w:val="Strong"/>
          <w:rFonts w:ascii="宋体" w:eastAsia="宋体" w:hAnsi="宋体" w:cs="宋体"/>
          <w:b w:val="0"/>
          <w:bCs w:val="0"/>
          <w:color w:val="FF0000"/>
          <w:kern w:val="0"/>
          <w:sz w:val="21"/>
          <w:szCs w:val="21"/>
          <w:highlight w:val="none"/>
          <w:lang w:val="en-US" w:eastAsia="zh-CN" w:bidi="ar"/>
        </w:rPr>
        <w:t>目前大多数企业高层管理人员主要把精力放在市场的开拓、业绩的增长等显性的经营目标上，只注重企业外部市场占有率的提升，对于企业内部治理架构的更新升级、管控体系融合的建设等隐性价值没有给予足够的重视，片面的经营思想使得企业内部治理建设一直落后于业务的发展速度。企业内部大</w:t>
      </w:r>
      <w:r>
        <w:rPr>
          <w:rFonts w:ascii="宋体" w:eastAsia="宋体" w:hAnsi="宋体" w:cs="宋体" w:hint="eastAsia"/>
          <w:b w:val="0"/>
          <w:bCs w:val="0"/>
          <w:color w:val="FF0000"/>
          <w:kern w:val="0"/>
          <w:sz w:val="21"/>
          <w:szCs w:val="21"/>
          <w:highlight w:val="none"/>
          <w:lang w:val="en-US" w:eastAsia="zh-CN" w:bidi="ar"/>
        </w:rPr>
        <w:t>多数岗位人员对于财会监督的认识就是把其当作财务部门专属的工作，对于内部控制的认识就是把它当作风控部门的专属工作，岗位固化的思维使得两个体系一直处在相互割裂的状态之中。企业整体的管理氛围把注意力过多集中在单个模块的执行上，而没有意识到多部门协同治理所形成的合力，使体系整体推进的速度受到制约。</w:t>
      </w:r>
    </w:p>
    <w:p w14:paraId="1F0DA38E">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color w:val="auto"/>
          <w:sz w:val="21"/>
          <w:szCs w:val="21"/>
          <w:highlight w:val="none"/>
        </w:rPr>
      </w:pPr>
      <w:r>
        <w:rPr>
          <w:rFonts w:cs="宋体" w:hint="eastAsia"/>
          <w:b w:val="0"/>
          <w:bCs w:val="0"/>
          <w:color w:val="auto"/>
          <w:sz w:val="21"/>
          <w:szCs w:val="21"/>
          <w:highlight w:val="none"/>
          <w:lang w:val="en-US" w:eastAsia="zh-CN"/>
        </w:rPr>
        <w:t>三、</w:t>
      </w:r>
      <w:r>
        <w:rPr>
          <w:rFonts w:ascii="宋体" w:eastAsia="宋体" w:hAnsi="宋体" w:cs="宋体" w:hint="eastAsia"/>
          <w:b w:val="0"/>
          <w:bCs w:val="0"/>
          <w:color w:val="auto"/>
          <w:sz w:val="21"/>
          <w:szCs w:val="21"/>
          <w:highlight w:val="none"/>
        </w:rPr>
        <w:t>企业财会监督与内部控制协同发展的优化路径</w:t>
      </w:r>
    </w:p>
    <w:p w14:paraId="180510CD">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color w:val="FF0000"/>
          <w:sz w:val="21"/>
          <w:szCs w:val="21"/>
          <w:highlight w:val="none"/>
        </w:rPr>
      </w:pPr>
      <w:r>
        <w:rPr>
          <w:rFonts w:cs="宋体" w:hint="eastAsia"/>
          <w:b w:val="0"/>
          <w:bCs w:val="0"/>
          <w:color w:val="FF0000"/>
          <w:sz w:val="21"/>
          <w:szCs w:val="21"/>
          <w:highlight w:val="none"/>
          <w:lang w:val="en-US" w:eastAsia="zh-CN"/>
        </w:rPr>
        <w:t>（一）</w:t>
      </w:r>
      <w:r>
        <w:rPr>
          <w:rFonts w:ascii="宋体" w:eastAsia="宋体" w:hAnsi="宋体" w:cs="宋体" w:hint="eastAsia"/>
          <w:b w:val="0"/>
          <w:bCs w:val="0"/>
          <w:color w:val="FF0000"/>
          <w:sz w:val="21"/>
          <w:szCs w:val="21"/>
          <w:highlight w:val="none"/>
        </w:rPr>
        <w:t>强化全员协同认知，树立融合管控理念</w:t>
      </w:r>
    </w:p>
    <w:p w14:paraId="7B5434B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color w:val="FF0000"/>
          <w:sz w:val="21"/>
          <w:szCs w:val="21"/>
          <w:highlight w:val="none"/>
        </w:rPr>
      </w:pPr>
      <w:r>
        <w:rPr>
          <w:rFonts w:ascii="宋体" w:eastAsia="宋体" w:hAnsi="宋体" w:cs="宋体" w:hint="eastAsia"/>
          <w:b w:val="0"/>
          <w:bCs w:val="0"/>
          <w:color w:val="FF0000"/>
          <w:kern w:val="0"/>
          <w:sz w:val="21"/>
          <w:szCs w:val="21"/>
          <w:highlight w:val="none"/>
          <w:lang w:val="en-US" w:eastAsia="zh-CN" w:bidi="ar"/>
        </w:rPr>
        <w:t>企业治理层必须摆脱传统经营管理思维的束缚，主动将财会监督同内部控制融合管控的思想融入到企业总体战略规划当中，打破业务发展与内部治理相互割裂的旧模式。根据</w:t>
      </w:r>
      <w:r>
        <w:rPr>
          <w:rStyle w:val="Strong"/>
          <w:rFonts w:ascii="宋体" w:eastAsia="宋体" w:hAnsi="宋体" w:cs="宋体"/>
          <w:b w:val="0"/>
          <w:bCs w:val="0"/>
          <w:color w:val="FF0000"/>
          <w:kern w:val="0"/>
          <w:sz w:val="21"/>
          <w:szCs w:val="21"/>
          <w:highlight w:val="none"/>
          <w:lang w:val="en-US" w:eastAsia="zh-CN" w:bidi="ar"/>
        </w:rPr>
        <w:t>企业内部各个层次的不同岗位群体量身定做不同的认知培育计划，高层管理团队的认知培育主要针对协同治理对企业的合规经营、风险对冲以及长效发展产生的战略意义，中层管理团队的认知培育主要针对跨部门协同的岗位职责、对接标准及管控要求，基层在岗员工的认知培育主要针对岗位匹配的协同操作规范、日常协同配合要点，分层培育模式能够精准对接</w:t>
      </w:r>
      <w:r>
        <w:rPr>
          <w:rFonts w:ascii="宋体" w:eastAsia="宋体" w:hAnsi="宋体" w:cs="宋体" w:hint="eastAsia"/>
          <w:b w:val="0"/>
          <w:bCs w:val="0"/>
          <w:color w:val="FF0000"/>
          <w:kern w:val="0"/>
          <w:sz w:val="21"/>
          <w:szCs w:val="21"/>
          <w:highlight w:val="none"/>
          <w:lang w:val="en-US" w:eastAsia="zh-CN" w:bidi="ar"/>
        </w:rPr>
        <w:t>各个岗位的工作需求。企业应该抛弃传统的理论宣讲模式，定期从行业内协同缺失导致的财务舞弊、经营亏损等案例中获取案例拆解、场景模拟、岗位讨论等形式，使员工对独立控制模式弊端和融合治理的适用性有直观的认识。财务部、内控部和各个业务部门的员工在常态化的认知熏陶之下，慢慢会丢弃各自为政的消极工作态度，主动在工作中去对接各个模块的管控标准，把协同融合的管控理念贯彻到资金周转、业务开展、账务核算的每一个环节当中，给两大体系的深度整合打下思想上的基础。</w:t>
      </w:r>
    </w:p>
    <w:p w14:paraId="50BC2767">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color w:val="FF0000"/>
          <w:sz w:val="21"/>
          <w:szCs w:val="21"/>
          <w:highlight w:val="none"/>
        </w:rPr>
      </w:pPr>
      <w:r>
        <w:rPr>
          <w:rFonts w:cs="宋体" w:hint="eastAsia"/>
          <w:b w:val="0"/>
          <w:bCs w:val="0"/>
          <w:color w:val="FF0000"/>
          <w:sz w:val="21"/>
          <w:szCs w:val="21"/>
          <w:highlight w:val="none"/>
          <w:lang w:val="en-US" w:eastAsia="zh-CN"/>
        </w:rPr>
        <w:t>（二）</w:t>
      </w:r>
      <w:r>
        <w:rPr>
          <w:rFonts w:ascii="宋体" w:eastAsia="宋体" w:hAnsi="宋体" w:cs="宋体" w:hint="eastAsia"/>
          <w:b w:val="0"/>
          <w:bCs w:val="0"/>
          <w:color w:val="FF0000"/>
          <w:sz w:val="21"/>
          <w:szCs w:val="21"/>
          <w:highlight w:val="none"/>
        </w:rPr>
        <w:t>完善协同制度体系，搭建常态化衔接机制</w:t>
      </w:r>
    </w:p>
    <w:p w14:paraId="7C2BB31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color w:val="FF0000"/>
          <w:sz w:val="21"/>
          <w:szCs w:val="21"/>
          <w:highlight w:val="none"/>
        </w:rPr>
      </w:pPr>
      <w:r>
        <w:rPr>
          <w:rFonts w:ascii="宋体" w:eastAsia="宋体" w:hAnsi="宋体" w:cs="宋体" w:hint="eastAsia"/>
          <w:b w:val="0"/>
          <w:bCs w:val="0"/>
          <w:color w:val="FF0000"/>
          <w:kern w:val="0"/>
          <w:sz w:val="21"/>
          <w:szCs w:val="21"/>
          <w:highlight w:val="none"/>
          <w:lang w:val="en-US" w:eastAsia="zh-CN" w:bidi="ar"/>
        </w:rPr>
        <w:t>企业要依托现行的财经法规、行业监管条例和自身经营业态，对现有的财会监督制度、内部控制制度进行全面的梳理和修订，根</w:t>
      </w:r>
      <w:r>
        <w:rPr>
          <w:rStyle w:val="Strong"/>
          <w:rFonts w:ascii="宋体" w:eastAsia="宋体" w:hAnsi="宋体" w:cs="宋体"/>
          <w:b w:val="0"/>
          <w:bCs w:val="0"/>
          <w:color w:val="FF0000"/>
          <w:kern w:val="0"/>
          <w:sz w:val="21"/>
          <w:szCs w:val="21"/>
          <w:highlight w:val="none"/>
          <w:lang w:val="en-US" w:eastAsia="zh-CN" w:bidi="ar"/>
        </w:rPr>
        <w:t>据企业目前的业务架构及治理需求对旧的条款进行优化调整，整理两类制度中适用场景矛盾、管控标准不</w:t>
      </w:r>
      <w:r>
        <w:rPr>
          <w:rFonts w:ascii="宋体" w:eastAsia="宋体" w:hAnsi="宋体" w:cs="宋体" w:hint="eastAsia"/>
          <w:b w:val="0"/>
          <w:bCs w:val="0"/>
          <w:color w:val="FF0000"/>
          <w:kern w:val="0"/>
          <w:sz w:val="21"/>
          <w:szCs w:val="21"/>
          <w:highlight w:val="none"/>
          <w:lang w:val="en-US" w:eastAsia="zh-CN" w:bidi="ar"/>
        </w:rPr>
        <w:t>一致的内容。企业治理团队应当依照各部门的职责范围，准确划定财务监督与内部控制交叉区域的工作范围，明晰预算管控、资金审核、成本核算、风险排查等主要环节之间的协作流程，保证跨部门工作对接有制度支撑。企业应当建立固定的跨部门协同对接机制，实行月度工作会商制度，季度专项问题复盘制度，使财务部和内控部的人员能够及时了解工作进展，协调管控问题，排查流程缺陷。企业应当建立动态化的制度更新机制，指定专人对政策的变动、业务的调整和市场环境的变化所引发的管控需求的调整进行跟踪，及时调整协同制度条款内容及执行标准，保证制度体系与企业协同治理发展同步，弥补传统管控模式下制度衔接断层、流程标准模糊的治理缺陷。</w:t>
      </w:r>
    </w:p>
    <w:p w14:paraId="3C771ED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59BBDFE3">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color w:val="FF0000"/>
          <w:sz w:val="21"/>
          <w:szCs w:val="21"/>
          <w:highlight w:val="none"/>
        </w:rPr>
      </w:pPr>
      <w:r>
        <w:rPr>
          <w:rFonts w:cs="宋体" w:hint="eastAsia"/>
          <w:b w:val="0"/>
          <w:bCs w:val="0"/>
          <w:color w:val="FF0000"/>
          <w:sz w:val="21"/>
          <w:szCs w:val="21"/>
          <w:highlight w:val="none"/>
          <w:lang w:val="en-US" w:eastAsia="zh-CN"/>
        </w:rPr>
        <w:t>（四）</w:t>
      </w:r>
      <w:r>
        <w:rPr>
          <w:rFonts w:ascii="宋体" w:eastAsia="宋体" w:hAnsi="宋体" w:cs="宋体" w:hint="eastAsia"/>
          <w:b w:val="0"/>
          <w:bCs w:val="0"/>
          <w:color w:val="FF0000"/>
          <w:sz w:val="21"/>
          <w:szCs w:val="21"/>
          <w:highlight w:val="none"/>
        </w:rPr>
        <w:t>培育复合型专业人才，提升协同执行效能</w:t>
      </w:r>
    </w:p>
    <w:p w14:paraId="2AB9720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color w:val="FF0000"/>
          <w:sz w:val="21"/>
          <w:szCs w:val="21"/>
          <w:highlight w:val="none"/>
        </w:rPr>
      </w:pPr>
      <w:r>
        <w:rPr>
          <w:rFonts w:ascii="宋体" w:eastAsia="宋体" w:hAnsi="宋体" w:cs="宋体" w:hint="eastAsia"/>
          <w:b w:val="0"/>
          <w:bCs w:val="0"/>
          <w:color w:val="FF0000"/>
          <w:kern w:val="0"/>
          <w:sz w:val="21"/>
          <w:szCs w:val="21"/>
          <w:highlight w:val="none"/>
          <w:lang w:val="en-US" w:eastAsia="zh-CN" w:bidi="ar"/>
        </w:rPr>
        <w:t>企业要以协同治理长久的发展为出发点，创建起契合协同治理要求的复合型人才培育体系，摆脱传统单一岗位技能培训的局限，全方位提升财务人员和内控人员在跨领域的工作中履职的能力。人力资源部门根据岗位工作不足之处制定双向化的培训方案，组织财务人员对内控流程、风险分析以及流程控制等内容做系统的培训，也会组织内控人员对财务核算、财经规范、资金监管等财务方面的专业知识做深入的学习。企业邀请行业资深管控专家、资深财税顾问进行线下专项授课，以企业真实的业务场景为依托，剖析协同工作的实际操作方法，并补充缺少的跨领域知识。企业可以建立内部轮岗实训制度，将财务人员与内控人员按周期进行短期的岗位互换培训，使财务人员和内控人员可以了解其他岗位的工作</w:t>
      </w:r>
      <w:r>
        <w:rPr>
          <w:rStyle w:val="Strong"/>
          <w:rFonts w:ascii="宋体" w:eastAsia="宋体" w:hAnsi="宋体" w:cs="宋体"/>
          <w:b w:val="0"/>
          <w:bCs w:val="0"/>
          <w:color w:val="FF0000"/>
          <w:kern w:val="0"/>
          <w:sz w:val="21"/>
          <w:szCs w:val="21"/>
          <w:highlight w:val="none"/>
          <w:lang w:val="en-US" w:eastAsia="zh-CN" w:bidi="ar"/>
        </w:rPr>
        <w:t>流程和管控逻辑。企业抛弃传统的单一的奖金激励模式，创建多元化的员工赋能与成长体系，把跨体系协同履职的效果、复合型技能掌握程度当作员工职业晋升、岗位评比的关键评判标准，激发员工主动钻研跨界专业的内在积极性。同步搭建起人才成长档案的建设工作，不断记载员工在岗期间个人技能提升状况、协同工作的履职情况、问题整改状况等，并以档案数据为依据，动态调整培训方向、培养重点，塑造出适应现代化企业融合发展管控需要的高素质复合型人才梯队。</w:t>
      </w:r>
    </w:p>
    <w:p w14:paraId="665560D4">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b w:val="0"/>
          <w:bCs w:val="0"/>
          <w:color w:val="FF0000"/>
          <w:sz w:val="21"/>
          <w:szCs w:val="21"/>
          <w:highlight w:val="none"/>
        </w:rPr>
      </w:pPr>
      <w:r>
        <w:rPr>
          <w:rFonts w:cs="宋体" w:hint="eastAsia"/>
          <w:b w:val="0"/>
          <w:bCs w:val="0"/>
          <w:color w:val="FF0000"/>
          <w:sz w:val="21"/>
          <w:szCs w:val="21"/>
          <w:highlight w:val="none"/>
          <w:lang w:val="en-US" w:eastAsia="zh-CN"/>
        </w:rPr>
        <w:t>（五）</w:t>
      </w:r>
      <w:r>
        <w:rPr>
          <w:b w:val="0"/>
          <w:bCs w:val="0"/>
          <w:color w:val="FF0000"/>
          <w:sz w:val="21"/>
          <w:szCs w:val="21"/>
          <w:highlight w:val="none"/>
        </w:rPr>
        <w:t>构建动态监督评价体系，保障协同长效落地</w:t>
      </w:r>
    </w:p>
    <w:p w14:paraId="18ADF81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color w:val="FF0000"/>
          <w:sz w:val="21"/>
          <w:szCs w:val="21"/>
          <w:highlight w:val="none"/>
        </w:rPr>
      </w:pPr>
      <w:r>
        <w:rPr>
          <w:rStyle w:val="Strong"/>
          <w:rFonts w:ascii="宋体" w:eastAsia="宋体" w:hAnsi="宋体" w:cs="宋体"/>
          <w:b w:val="0"/>
          <w:bCs w:val="0"/>
          <w:color w:val="FF0000"/>
          <w:kern w:val="0"/>
          <w:sz w:val="21"/>
          <w:szCs w:val="21"/>
          <w:highlight w:val="none"/>
          <w:lang w:val="en-US" w:eastAsia="zh-CN" w:bidi="ar"/>
        </w:rPr>
        <w:t>企业脱离传统的静态考核、结果考核的固定模式，根据财会监督与内部控制协同运行的全过程特性，搭建适合企业业务规模以及治理架构的动态化、过程化的监督评价体系，实现协同工作的全过程、全方位监督与评价。企业由财务部、内控部、业务部等主要部门组成联合班子，从协同工作的落实细节出发，对协同工作的考核指标进行全方位的设计，分为流程合规落地度、风险隐患整改效率、财务数据准确性、跨部门协作配合情况以及协同流程改善情况这五个方面，使得协同工作的成果能有客观具体的标准去衡量。企业成立脱离日常管理岗位的专职专项检查小组，分阶段对两个体系协同执行情况开展检查，对制度执行流于形式、部门配合消极、问题整改不到位等履职不到位的进行认真排查。督查小组利用季度、年度考核数据对协同治理全过程进行总结分析，找出协同运行体系的薄弱环节和不足，有针对性地改进协同对接流程以及管控执行标准，形成从执行到监督再到评价再到改进的闭环管理模式。</w:t>
      </w:r>
    </w:p>
    <w:p w14:paraId="4E34D0D5">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宋体" w:eastAsia="宋体" w:hAnsi="宋体" w:cs="宋体" w:hint="eastAsia"/>
          <w:b w:val="0"/>
          <w:bCs w:val="0"/>
          <w:color w:val="FF0000"/>
          <w:sz w:val="21"/>
          <w:szCs w:val="21"/>
          <w:highlight w:val="none"/>
        </w:rPr>
      </w:pPr>
      <w:r>
        <w:rPr>
          <w:rFonts w:ascii="宋体" w:eastAsia="宋体" w:hAnsi="宋体" w:cs="宋体" w:hint="eastAsia"/>
          <w:b w:val="0"/>
          <w:bCs w:val="0"/>
          <w:color w:val="FF0000"/>
          <w:sz w:val="21"/>
          <w:szCs w:val="21"/>
          <w:highlight w:val="none"/>
        </w:rPr>
        <w:t>结束语：</w:t>
      </w:r>
      <w:r>
        <w:rPr>
          <w:rFonts w:cs="宋体" w:hint="eastAsia"/>
          <w:b w:val="0"/>
          <w:bCs w:val="0"/>
          <w:color w:val="FF0000"/>
          <w:sz w:val="21"/>
          <w:szCs w:val="21"/>
          <w:highlight w:val="none"/>
          <w:lang w:eastAsia="zh-CN"/>
        </w:rPr>
        <w:t>财会</w:t>
      </w:r>
      <w:r>
        <w:rPr>
          <w:rFonts w:ascii="宋体" w:eastAsia="宋体" w:hAnsi="宋体" w:cs="宋体" w:hint="eastAsia"/>
          <w:b w:val="0"/>
          <w:bCs w:val="0"/>
          <w:color w:val="FF0000"/>
          <w:kern w:val="0"/>
          <w:sz w:val="21"/>
          <w:szCs w:val="21"/>
          <w:highlight w:val="none"/>
          <w:lang w:val="en-US" w:eastAsia="zh-CN" w:bidi="ar"/>
        </w:rPr>
        <w:t>监督和内部控制深入融合有利于企业适应市场化监管环境，改善内部治理结构，对企业财务管控松散、风险控制薄弱的现状起到改善作用。本文所提出的各种优化途径，可以很好地打破两个管控体系之间相互的隔阂，从而提高企业的整体管理水平。伴随着数字技术的不断更新换代以及行业的治理体系日益完善，企业财会管控同内部控制的融合方式也会随</w:t>
      </w:r>
      <w:r>
        <w:rPr>
          <w:rFonts w:cs="宋体" w:hint="eastAsia"/>
          <w:b w:val="0"/>
          <w:bCs w:val="0"/>
          <w:color w:val="FF0000"/>
          <w:kern w:val="0"/>
          <w:sz w:val="21"/>
          <w:szCs w:val="21"/>
          <w:highlight w:val="none"/>
          <w:lang w:val="en-US" w:eastAsia="zh-CN" w:bidi="ar"/>
        </w:rPr>
        <w:t>之</w:t>
      </w:r>
      <w:r>
        <w:rPr>
          <w:rFonts w:ascii="宋体" w:eastAsia="宋体" w:hAnsi="宋体" w:cs="宋体" w:hint="eastAsia"/>
          <w:b w:val="0"/>
          <w:bCs w:val="0"/>
          <w:color w:val="FF0000"/>
          <w:kern w:val="0"/>
          <w:sz w:val="21"/>
          <w:szCs w:val="21"/>
          <w:highlight w:val="none"/>
          <w:lang w:val="en-US" w:eastAsia="zh-CN" w:bidi="ar"/>
        </w:rPr>
        <w:t>不断优化完善，给企业的合规经营、可持续稳定发展给予源源不断的内部治理推动力。</w:t>
      </w:r>
    </w:p>
    <w:p w14:paraId="7892754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eastAsia"/>
          <w:color w:val="auto"/>
          <w:lang w:val="en-US" w:eastAsia="zh-CN"/>
        </w:rPr>
      </w:pPr>
      <w:bookmarkStart w:id="0" w:name="_GoBack"/>
      <w:bookmarkEnd w:id="0"/>
    </w:p>
    <w:p w14:paraId="5F6BC44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eastAsia"/>
          <w:color w:val="auto"/>
          <w:lang w:val="en-US" w:eastAsia="zh-CN"/>
        </w:rPr>
      </w:pPr>
    </w:p>
    <w:p w14:paraId="7A7522F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eastAsia"/>
          <w:color w:val="auto"/>
          <w:lang w:val="en-US" w:eastAsia="zh-CN"/>
        </w:rPr>
      </w:pPr>
    </w:p>
    <w:p w14:paraId="781621A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eastAsia"/>
          <w:color w:val="auto"/>
          <w:lang w:val="en-US" w:eastAsia="zh-CN"/>
        </w:rPr>
      </w:pPr>
    </w:p>
    <w:p w14:paraId="5A16583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FA42B4"/>
    <w:rsid w:val="6D70F8DF"/>
    <w:rsid w:val="6DE1A9E9"/>
    <w:rsid w:val="6EDD75E1"/>
    <w:rsid w:val="6F3D519A"/>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CF33083"/>
    <w:rsid w:val="7DDEA176"/>
    <w:rsid w:val="7EDB7E18"/>
    <w:rsid w:val="7EF3179D"/>
    <w:rsid w:val="7EFFCC37"/>
    <w:rsid w:val="7F46C823"/>
    <w:rsid w:val="7F6CAF66"/>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2024-12-30T10:06:00Z</dcterms:created>
  <dcterms:modified xsi:type="dcterms:W3CDTF">2026-10-26T10:23:01Z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