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6A407FC">
      <w:pPr>
        <w:spacing w:line="340" w:lineRule="exact"/>
      </w:pPr>
      <w:r>
        <w:rPr>
          <w:rFonts w:ascii="黑体" w:eastAsia="黑体" w:hAnsi="黑体" w:hint="eastAsia"/>
          <w:b/>
          <w:sz w:val="20"/>
        </w:rPr>
        <w:t>摘要：</w:t>
      </w:r>
      <w:r>
        <w:rPr>
          <w:rFonts w:ascii="楷体" w:eastAsia="楷体" w:hAnsi="楷体" w:hint="eastAsia"/>
          <w:sz w:val="20"/>
        </w:rPr>
        <w:t>古交市河口镇紫金沟崩塌位于任太生住户东侧，坡高4</w:t>
      </w:r>
      <w:r>
        <w:rPr>
          <w:rFonts w:ascii="楷体" w:eastAsia="楷体" w:hAnsi="楷体"/>
          <w:sz w:val="20"/>
        </w:rPr>
        <w:t>.11～6.09m，坡度46°～74°，威胁坡下1户16间房及过往行人生命财产安全。本文</w:t>
      </w:r>
      <w:r>
        <w:rPr>
          <w:rFonts w:ascii="楷体" w:eastAsia="楷体" w:hAnsi="楷体" w:hint="eastAsia"/>
          <w:sz w:val="20"/>
        </w:rPr>
        <w:t>在1/200地形测量和地质灾害调查的基础上，对项目区地质环境条件进行梳理，从降雨入渗、冻融循环、坡脚开挖、管线渗水四个方面分析崩塌形成的机理，根据稳定性评价确定治理工程等级为Ⅱ级。经过方案比选，采用以圆形灌注桩为主受力结构，筏板基础与桩板墙共同组成整体挡护，排水和路面硬化以及全过程监测的综合治理方案，按坡面清理、平台浇筑、桩筏支护、排水与路面配套的顺序施工。该方案支挡可靠、扰动小</w:t>
      </w:r>
      <w:r>
        <w:rPr>
          <w:rFonts w:ascii="楷体" w:eastAsia="楷体" w:hAnsi="楷体" w:hint="eastAsia"/>
          <w:sz w:val="20"/>
          <w:lang w:val="en-US" w:eastAsia="zh-CN"/>
        </w:rPr>
        <w:t>，可</w:t>
      </w:r>
      <w:r>
        <w:rPr>
          <w:rFonts w:ascii="楷体" w:eastAsia="楷体" w:hAnsi="楷体" w:hint="eastAsia"/>
          <w:sz w:val="20"/>
        </w:rPr>
        <w:t>为黄土丘陵区小型崩塌应急治理提供参考。</w:t>
      </w:r>
    </w:p>
    <w:p w14:paraId="6A14B793">
      <w:pPr>
        <w:spacing w:line="340" w:lineRule="exact"/>
        <w:jc w:val="left"/>
      </w:pPr>
      <w:r>
        <w:rPr>
          <w:rFonts w:ascii="黑体" w:eastAsia="黑体" w:hAnsi="黑体" w:hint="eastAsia"/>
          <w:b/>
          <w:sz w:val="20"/>
        </w:rPr>
        <w:t>关键词：</w:t>
      </w:r>
      <w:r>
        <w:rPr>
          <w:rFonts w:ascii="楷体" w:eastAsia="楷体" w:hAnsi="楷体" w:hint="eastAsia"/>
          <w:sz w:val="20"/>
        </w:rPr>
        <w:t>崩塌；地质灾害治理；抗滑桩；稳定性分析；施工图设计</w:t>
      </w:r>
      <w:bookmarkStart w:id="0" w:name="_GoBack"/>
      <w:bookmarkEnd w:id="0"/>
    </w:p>
    <w:p w14:paraId="6F91BCB2">
      <w:pPr>
        <w:adjustRightInd w:val="0"/>
        <w:spacing w:line="340" w:lineRule="exact"/>
        <w:jc w:val="left"/>
        <w:rPr>
          <w:rFonts w:ascii="Times New Roman" w:hAnsi="Times New Roman" w:cs="Times New Roman"/>
          <w:sz w:val="20"/>
        </w:rPr>
      </w:pPr>
      <w:r>
        <w:rPr>
          <w:rFonts w:ascii="黑体" w:eastAsia="黑体" w:hAnsi="黑体" w:hint="eastAsia"/>
          <w:b/>
          <w:sz w:val="20"/>
        </w:rPr>
        <w:t>中图分类号：</w:t>
      </w:r>
      <w:r>
        <w:rPr>
          <w:rFonts w:ascii="Times New Roman" w:hAnsi="Times New Roman" w:cs="Times New Roman"/>
          <w:sz w:val="20"/>
        </w:rPr>
        <w:t>P642</w:t>
      </w:r>
    </w:p>
    <w:p w14:paraId="756945CF">
      <w:pPr>
        <w:adjustRightInd w:val="0"/>
        <w:spacing w:line="340" w:lineRule="exact"/>
        <w:jc w:val="left"/>
      </w:pPr>
    </w:p>
    <w:p w14:paraId="5728508A">
      <w:pPr>
        <w:adjustRightInd w:val="0"/>
        <w:spacing w:before="100" w:after="60" w:line="360" w:lineRule="exact"/>
        <w:jc w:val="left"/>
        <w:rPr>
          <w:rFonts w:ascii="黑体" w:eastAsia="黑体" w:hAnsi="黑体"/>
          <w:color w:val="FF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1440" w:right="1077" w:bottom="1440" w:left="1077" w:header="851" w:footer="992" w:gutter="0"/>
          <w:pgNumType w:fmt="numberInDash"/>
          <w:cols w:num="1" w:space="425"/>
          <w:titlePg/>
          <w:docGrid w:type="lines" w:linePitch="312" w:charSpace="0"/>
        </w:sectPr>
      </w:pPr>
    </w:p>
    <w:p w14:paraId="106BF5A7">
      <w:pPr>
        <w:adjustRightInd w:val="0"/>
        <w:spacing w:before="100" w:after="60" w:line="360" w:lineRule="exact"/>
        <w:jc w:val="left"/>
        <w:rPr>
          <w:rFonts w:ascii="黑体" w:eastAsia="黑体" w:hAnsi="黑体"/>
          <w:sz w:val="24"/>
        </w:rPr>
      </w:pPr>
      <w:r>
        <w:rPr>
          <w:rFonts w:ascii="黑体" w:eastAsia="黑体" w:hAnsi="黑体" w:hint="eastAsia"/>
          <w:color w:val="FF0000"/>
          <w:sz w:val="24"/>
        </w:rPr>
        <w:t>0 引言</w:t>
      </w:r>
    </w:p>
    <w:p w14:paraId="1CBEFFDB">
      <w:pPr>
        <w:spacing w:line="340" w:lineRule="exact"/>
        <w:ind w:firstLine="400" w:firstLineChars="200"/>
        <w:rPr>
          <w:rFonts w:ascii="宋体" w:eastAsia="宋体" w:hAnsi="宋体"/>
          <w:sz w:val="20"/>
        </w:rPr>
      </w:pPr>
      <w:r>
        <w:rPr>
          <w:rFonts w:ascii="宋体" w:eastAsia="宋体" w:hAnsi="宋体" w:hint="eastAsia"/>
          <w:sz w:val="20"/>
        </w:rPr>
        <w:t>黄土丘陵区地形起伏大，城镇和乡村的道路、住宅大多沿坡脚分布，人工开挖出很多高度不高、临空的边坡。此类边坡紧邻房屋、道路，岩土体松散，在降水、冻融作用下变形现象隐蔽，一旦失稳就造成灾难。由于场地、经费等原因，小型崩塌治理不能照搬大型地质灾害的工程模式，在查明原因的基础上选择合适的方案。该类崩塌规模小，但紧贴住户日常活动范围，施工过程中还要保证既有房</w:t>
      </w:r>
      <w:r>
        <w:rPr>
          <w:rFonts w:ascii="宋体" w:eastAsia="宋体" w:hAnsi="宋体" w:hint="eastAsia"/>
          <w:sz w:val="20"/>
          <w:lang w:val="en-US" w:eastAsia="zh-CN"/>
        </w:rPr>
        <w:t>屋和道</w:t>
      </w:r>
      <w:r>
        <w:rPr>
          <w:rFonts w:ascii="宋体" w:eastAsia="宋体" w:hAnsi="宋体" w:hint="eastAsia"/>
          <w:sz w:val="20"/>
        </w:rPr>
        <w:t>路的安全，治理设计对方案比选、施工时序的要求更高。已有研究从崩塌勘查要点、深层锚固和生态护坡施工等角度展开实践，村庄崩塌治理案例显示清理、支挡、排水和监测组合的思路比较适用，山区边坡治理经验也表明方案比选和动态设计对治理效果起着决定性的作用</w:t>
      </w:r>
      <w:r>
        <w:rPr>
          <w:rFonts w:ascii="宋体" w:eastAsia="宋体" w:hAnsi="宋体" w:hint="eastAsia"/>
          <w:sz w:val="20"/>
          <w:vertAlign w:val="superscript"/>
        </w:rPr>
        <w:t>[1]</w:t>
      </w:r>
      <w:r>
        <w:rPr>
          <w:rFonts w:ascii="宋体" w:eastAsia="宋体" w:hAnsi="宋体" w:hint="eastAsia"/>
          <w:sz w:val="20"/>
          <w:vertAlign w:val="superscript"/>
        </w:rPr>
        <w:t>[2]</w:t>
      </w:r>
      <w:r>
        <w:rPr>
          <w:rFonts w:ascii="宋体" w:eastAsia="宋体" w:hAnsi="宋体" w:hint="eastAsia"/>
          <w:sz w:val="20"/>
          <w:vertAlign w:val="superscript"/>
        </w:rPr>
        <w:t>[3]</w:t>
      </w:r>
      <w:r>
        <w:rPr>
          <w:rFonts w:ascii="宋体" w:eastAsia="宋体" w:hAnsi="宋体" w:hint="eastAsia"/>
          <w:sz w:val="20"/>
        </w:rPr>
        <w:t>。</w:t>
      </w:r>
      <w:r>
        <w:rPr>
          <w:rFonts w:ascii="宋体" w:eastAsia="宋体" w:hAnsi="宋体" w:hint="eastAsia"/>
          <w:sz w:val="20"/>
          <w:lang w:val="en-US" w:eastAsia="zh-CN"/>
        </w:rPr>
        <w:t>下面</w:t>
      </w:r>
      <w:r>
        <w:rPr>
          <w:rFonts w:ascii="宋体" w:eastAsia="宋体" w:hAnsi="宋体" w:hint="eastAsia"/>
          <w:sz w:val="20"/>
        </w:rPr>
        <w:t>以古交市河口镇紫金沟崩塌为对象，结合地形测量和地质灾害调查，分析其形成机理及稳定状况，给出综合治理施工图设计，为黄土丘陵区小型崩塌应急治理提供思</w:t>
      </w:r>
      <w:r>
        <w:rPr>
          <w:rFonts w:ascii="宋体" w:eastAsia="宋体" w:hAnsi="宋体" w:hint="eastAsia"/>
          <w:sz w:val="20"/>
          <w:lang w:val="en-US" w:eastAsia="zh-CN"/>
        </w:rPr>
        <w:t>路。</w:t>
      </w:r>
    </w:p>
    <w:p w14:paraId="24650CEA">
      <w:pPr>
        <w:adjustRightInd w:val="0"/>
        <w:spacing w:before="100" w:after="60" w:line="360" w:lineRule="exact"/>
        <w:jc w:val="left"/>
        <w:rPr>
          <w:rFonts w:ascii="黑体" w:eastAsia="黑体" w:hAnsi="黑体"/>
          <w:sz w:val="24"/>
        </w:rPr>
      </w:pPr>
      <w:r>
        <w:rPr>
          <w:rFonts w:ascii="黑体" w:eastAsia="黑体" w:hAnsi="黑体" w:hint="eastAsia"/>
          <w:sz w:val="24"/>
        </w:rPr>
        <w:t>1 项目区地质环境条件</w:t>
      </w:r>
    </w:p>
    <w:p w14:paraId="41DC1EA9">
      <w:pPr>
        <w:adjustRightInd w:val="0"/>
        <w:spacing w:before="40" w:after="20" w:line="360" w:lineRule="exact"/>
        <w:jc w:val="left"/>
        <w:rPr>
          <w:rFonts w:ascii="黑体" w:eastAsia="黑体" w:hAnsi="黑体" w:hint="eastAsia"/>
          <w:sz w:val="22"/>
        </w:rPr>
      </w:pPr>
      <w:r>
        <w:rPr>
          <w:rFonts w:ascii="黑体" w:eastAsia="黑体" w:hAnsi="黑体" w:hint="eastAsia"/>
          <w:sz w:val="22"/>
        </w:rPr>
        <w:t>1.1 气象水文</w:t>
      </w:r>
    </w:p>
    <w:p w14:paraId="66F6F50A">
      <w:pPr>
        <w:spacing w:line="340" w:lineRule="exact"/>
        <w:ind w:firstLine="400" w:firstLineChars="200"/>
        <w:rPr>
          <w:rFonts w:ascii="宋体" w:eastAsia="宋体" w:hAnsi="宋体" w:hint="eastAsia"/>
          <w:sz w:val="20"/>
        </w:rPr>
      </w:pPr>
      <w:r>
        <w:rPr>
          <w:rFonts w:ascii="宋体" w:eastAsia="宋体" w:hAnsi="宋体" w:hint="eastAsia"/>
          <w:sz w:val="20"/>
        </w:rPr>
        <w:t>紫金沟位于古交市东北约8.5km处，东距太古高速4.2km，交通比较方便。区域属于暖温带大陆性气候，多年平均降水量为419.4mm，降水主要集中在6-8月份，占全年降水量的56%。2021年10月曾出现四天累计降雨206.5mm的极端强降雨，雨水沿松散坡体快速下渗，是诱发崩塌的重要外因。降水年内分配集中、单次降雨强度大，坡面无植被覆盖，地表径流形成快，给坡体短时大量进水创造了条件。</w:t>
      </w:r>
    </w:p>
    <w:p w14:paraId="0DCDAAEA">
      <w:pPr>
        <w:adjustRightInd w:val="0"/>
        <w:spacing w:before="40" w:after="20" w:line="360" w:lineRule="exact"/>
        <w:jc w:val="left"/>
        <w:rPr>
          <w:rFonts w:ascii="黑体" w:eastAsia="黑体" w:hAnsi="黑体" w:hint="eastAsia"/>
          <w:sz w:val="22"/>
        </w:rPr>
      </w:pPr>
      <w:r>
        <w:rPr>
          <w:rFonts w:ascii="黑体" w:eastAsia="黑体" w:hAnsi="黑体" w:hint="eastAsia"/>
          <w:sz w:val="22"/>
        </w:rPr>
        <w:t xml:space="preserve"> 1.2 地形地貌与地层岩性</w:t>
      </w:r>
    </w:p>
    <w:p w14:paraId="1C66E28B">
      <w:pPr>
        <w:spacing w:line="340" w:lineRule="exact"/>
        <w:ind w:firstLine="400" w:firstLineChars="200"/>
        <w:rPr>
          <w:rFonts w:ascii="宋体" w:eastAsia="宋体" w:hAnsi="宋体" w:hint="eastAsia"/>
          <w:sz w:val="20"/>
        </w:rPr>
      </w:pPr>
      <w:r>
        <w:rPr>
          <w:rFonts w:ascii="宋体" w:eastAsia="宋体" w:hAnsi="宋体" w:hint="eastAsia"/>
          <w:sz w:val="20"/>
        </w:rPr>
        <w:t>项目区属于黄土丘陵区，微地貌为高陡斜坡带，地势南高北低，最大相对高差7.92m。崩塌下方高程954.76～954.83m，道路高程958.87～960.92m，坡体相对高差4.11～6.09m，坡面裸露。出露地层由上至下为第四系全新统人工填土、上更新统黄褐色粉土、中更新统粘土夹砾石层。粉土结构松散，大孔隙发育，垂直节理明显，遇水易崩解软化。粘土夹砾石层密实程度不均匀，砾石被流水冲刷后容易形成凹腔，为上部土体悬空提供空间。</w:t>
      </w:r>
    </w:p>
    <w:p w14:paraId="705B924C">
      <w:pPr>
        <w:adjustRightInd w:val="0"/>
        <w:spacing w:before="40" w:after="20" w:line="360" w:lineRule="exact"/>
        <w:jc w:val="left"/>
        <w:rPr>
          <w:rFonts w:ascii="黑体" w:eastAsia="黑体" w:hAnsi="黑体" w:hint="eastAsia"/>
          <w:sz w:val="22"/>
        </w:rPr>
      </w:pPr>
      <w:r>
        <w:rPr>
          <w:rFonts w:ascii="黑体" w:eastAsia="黑体" w:hAnsi="黑体" w:hint="eastAsia"/>
          <w:sz w:val="22"/>
        </w:rPr>
        <w:t>1.3 地质构造与人类工程活动</w:t>
      </w:r>
    </w:p>
    <w:p w14:paraId="3E4079D1">
      <w:pPr>
        <w:spacing w:line="340" w:lineRule="exact"/>
        <w:ind w:firstLine="400" w:firstLineChars="200"/>
        <w:rPr>
          <w:rFonts w:ascii="宋体" w:eastAsia="宋体" w:hAnsi="宋体" w:hint="eastAsia"/>
          <w:sz w:val="20"/>
        </w:rPr>
      </w:pPr>
      <w:r>
        <w:rPr>
          <w:rFonts w:ascii="宋体" w:eastAsia="宋体" w:hAnsi="宋体" w:hint="eastAsia"/>
          <w:sz w:val="20"/>
        </w:rPr>
        <w:t>区域地质构造简单，地震动峰值加速度0.15g，抗震设防烈度Ⅶ度。地下水属于第四系松散岩类孔隙水，埋深大于20m，对坡体稳定以及基础开挖影响不大。人类工程活动主要有两种，铺设饮水管道时切割路面混凝土，新旧路面接缝成了雨水持续入渗的通道。坡前房屋建设使坡脚被开挖，削弱了坡体下部支撑。</w:t>
      </w:r>
    </w:p>
    <w:p w14:paraId="345A8761">
      <w:pPr>
        <w:spacing w:line="340" w:lineRule="exact"/>
        <w:ind w:firstLine="400" w:firstLineChars="200"/>
        <w:rPr>
          <w:rFonts w:ascii="宋体" w:eastAsia="宋体" w:hAnsi="宋体"/>
          <w:sz w:val="20"/>
        </w:rPr>
      </w:pPr>
    </w:p>
    <w:p w14:paraId="0B8B525D">
      <w:pPr>
        <w:adjustRightInd w:val="0"/>
        <w:spacing w:before="100" w:after="60" w:line="360" w:lineRule="exact"/>
        <w:jc w:val="left"/>
        <w:rPr>
          <w:rFonts w:ascii="黑体" w:eastAsia="黑体" w:hAnsi="黑体"/>
          <w:sz w:val="24"/>
        </w:rPr>
      </w:pPr>
      <w:r>
        <w:rPr>
          <w:rFonts w:ascii="黑体" w:eastAsia="黑体" w:hAnsi="黑体" w:hint="eastAsia"/>
          <w:sz w:val="24"/>
        </w:rPr>
        <w:t>2 崩塌发育特征与形成机制</w:t>
      </w:r>
    </w:p>
    <w:p w14:paraId="2FEBF33C">
      <w:pPr>
        <w:adjustRightInd w:val="0"/>
        <w:spacing w:before="40" w:after="20" w:line="360" w:lineRule="exact"/>
        <w:jc w:val="left"/>
        <w:rPr>
          <w:rFonts w:ascii="黑体" w:eastAsia="黑体" w:hAnsi="黑体" w:hint="eastAsia"/>
          <w:sz w:val="22"/>
        </w:rPr>
      </w:pPr>
      <w:r>
        <w:rPr>
          <w:rFonts w:ascii="黑体" w:eastAsia="黑体" w:hAnsi="黑体" w:hint="eastAsia"/>
          <w:sz w:val="22"/>
        </w:rPr>
        <w:t xml:space="preserve"> 2.1 崩塌发育特征</w:t>
      </w:r>
    </w:p>
    <w:p w14:paraId="55014B7A">
      <w:pPr>
        <w:spacing w:line="340" w:lineRule="exact"/>
        <w:ind w:firstLine="400" w:firstLineChars="200"/>
        <w:rPr>
          <w:rFonts w:ascii="宋体" w:eastAsia="宋体" w:hAnsi="宋体" w:hint="eastAsia"/>
          <w:sz w:val="20"/>
        </w:rPr>
      </w:pPr>
      <w:r>
        <w:rPr>
          <w:rFonts w:ascii="宋体" w:eastAsia="宋体" w:hAnsi="宋体" w:hint="eastAsia"/>
          <w:sz w:val="20"/>
        </w:rPr>
        <w:t>崩塌体宽约32m，高4.11～6.09m，厚约1.8m，体积约125.8m³，属于滑移式崩塌。崩塌物为人工填土、建筑垃圾，目前仍然堆放在坡下房屋顶部，给房屋增加了荷载。崩塌上半段临空直立约1.5m，造成道路东侧围墙坍塌、陈乃正家房屋严重变形，任太生家房屋中部沉降、多处裂缝。崩塌后缘与道路之间变形还没有结束，在降水和冻融的作用下还会继续扩展。</w:t>
      </w:r>
    </w:p>
    <w:p w14:paraId="58D5A0F5">
      <w:pPr>
        <w:adjustRightInd w:val="0"/>
        <w:spacing w:before="40" w:after="20" w:line="360" w:lineRule="exact"/>
        <w:jc w:val="left"/>
        <w:rPr>
          <w:rFonts w:ascii="黑体" w:eastAsia="黑体" w:hAnsi="黑体" w:hint="eastAsia"/>
          <w:sz w:val="22"/>
        </w:rPr>
      </w:pPr>
      <w:r>
        <w:rPr>
          <w:rFonts w:ascii="黑体" w:eastAsia="黑体" w:hAnsi="黑体" w:hint="eastAsia"/>
          <w:sz w:val="22"/>
        </w:rPr>
        <w:t>2.2 崩塌形成机制</w:t>
      </w:r>
    </w:p>
    <w:p w14:paraId="2356CCDD">
      <w:pPr>
        <w:spacing w:line="340" w:lineRule="exact"/>
        <w:ind w:firstLine="400" w:firstLineChars="200"/>
        <w:rPr>
          <w:rFonts w:ascii="宋体" w:eastAsia="宋体" w:hAnsi="宋体" w:hint="eastAsia"/>
          <w:sz w:val="20"/>
        </w:rPr>
      </w:pPr>
      <w:r>
        <w:rPr>
          <w:rFonts w:ascii="宋体" w:eastAsia="宋体" w:hAnsi="宋体" w:hint="eastAsia"/>
          <w:sz w:val="20"/>
        </w:rPr>
        <w:t>降雨入渗是崩塌的主要诱发因素。粉土大孔隙、垂直节理给雨水提供快速通道，强降雨之后坡体含水量迅速增大，土体自重增大，颗粒间黏聚力、摩擦强度降低，雨水沿新旧路面接缝集中渗入又使地基土不断软化。春季冻融循环加大了坡体结构破坏的程度，孔隙水冻结膨胀、融化之后土体变得疏松，反复作用使坡体表面裂缝向深处发展。</w:t>
      </w:r>
    </w:p>
    <w:p w14:paraId="60C0188F">
      <w:pPr>
        <w:spacing w:line="340" w:lineRule="exact"/>
        <w:ind w:firstLine="400" w:firstLineChars="200"/>
        <w:rPr>
          <w:rFonts w:ascii="宋体" w:eastAsia="宋体" w:hAnsi="宋体" w:hint="eastAsia"/>
          <w:sz w:val="20"/>
        </w:rPr>
      </w:pPr>
      <w:r>
        <w:rPr>
          <w:rFonts w:ascii="宋体" w:eastAsia="宋体" w:hAnsi="宋体" w:hint="eastAsia"/>
          <w:sz w:val="20"/>
        </w:rPr>
        <w:t>地形、地层组合给失稳提供临空条件。坡体近似直立，坡度为46°～74°，上部粉土疏松多孔，下部砾砂被淘蚀后退形成直立坎，上部土体失去支撑后处于悬空状态，变形由坡脚向坡顶逐步发展。坡脚开挖、管道切割破坏了坡体原有的应力平衡，路面整体受力被切断。切坡卸荷之后坡体应力重新分布，临空面附近应力集中，卸荷裂隙在降雨、风化、振动的作用下不断延伸，坡体在自重作用下长期蠕变，最后沿临空面发生滑移式崩塌。该种多因素叠加、随着时间逐渐发展而致灾的过程与边坡地质灾害致灾因素分析的一般认识是一致的</w:t>
      </w:r>
      <w:r>
        <w:rPr>
          <w:rFonts w:ascii="宋体" w:eastAsia="宋体" w:hAnsi="宋体" w:hint="eastAsia"/>
          <w:sz w:val="20"/>
          <w:vertAlign w:val="superscript"/>
        </w:rPr>
        <w:t>[4]</w:t>
      </w:r>
      <w:r>
        <w:rPr>
          <w:rFonts w:ascii="宋体" w:eastAsia="宋体" w:hAnsi="宋体" w:hint="eastAsia"/>
          <w:sz w:val="20"/>
        </w:rPr>
        <w:t>。</w:t>
      </w:r>
    </w:p>
    <w:p w14:paraId="58B9CDF0">
      <w:pPr>
        <w:adjustRightInd w:val="0"/>
        <w:spacing w:before="40" w:after="20" w:line="360" w:lineRule="exact"/>
        <w:jc w:val="left"/>
        <w:rPr>
          <w:rFonts w:ascii="宋体" w:eastAsia="宋体" w:hAnsi="宋体" w:hint="eastAsia"/>
          <w:sz w:val="20"/>
        </w:rPr>
      </w:pPr>
      <w:r>
        <w:rPr>
          <w:rFonts w:ascii="黑体" w:eastAsia="黑体" w:hAnsi="黑体" w:hint="eastAsia"/>
          <w:sz w:val="22"/>
        </w:rPr>
        <w:t xml:space="preserve"> 2.3 稳定性评价</w:t>
      </w:r>
    </w:p>
    <w:p w14:paraId="5313B21D">
      <w:pPr>
        <w:spacing w:line="340" w:lineRule="exact"/>
        <w:ind w:firstLine="400" w:firstLineChars="200"/>
        <w:rPr>
          <w:rFonts w:ascii="宋体" w:eastAsia="宋体" w:hAnsi="宋体" w:hint="eastAsia"/>
          <w:sz w:val="20"/>
        </w:rPr>
      </w:pPr>
      <w:r>
        <w:rPr>
          <w:rFonts w:ascii="宋体" w:eastAsia="宋体" w:hAnsi="宋体" w:hint="eastAsia"/>
          <w:sz w:val="20"/>
        </w:rPr>
        <w:t>将坡体变形和崩塌稳定性判别标志逐个对比，坡体已经出现了临空直立、围墙坍塌、房屋开裂、沉降等标志，判定崩塌体目前稳定性差，叠近汛期再次失稳的可能性大，治理工程等级定为Ⅱ级。在定性判别基础上，用传递系数法对坡体稳定性进行验算，沿主剖面划分计算条块，分别计算自重、自重+降雨、自重+地震三种工况下的稳定系数，抗剪强度参数根据粉土和人工填土的室内试验结合地区经验取值。计算结果表明，降雨工况下坡体稳定系数小于规范要求的安全标准，与定性判断结果一致，说明坡体在汛期再次失稳的可能性较大。治理设计以人本主义为指导思想，防治结合，安全可靠，经济合理为原则，设计工况为自重、降雨、地震荷载组合，设计安全系数取1.25。</w:t>
      </w:r>
    </w:p>
    <w:p w14:paraId="25DA2027">
      <w:pPr>
        <w:spacing w:line="340" w:lineRule="exact"/>
        <w:ind w:firstLine="400" w:firstLineChars="200"/>
        <w:rPr>
          <w:rFonts w:ascii="宋体" w:eastAsia="宋体" w:hAnsi="宋体"/>
          <w:sz w:val="20"/>
        </w:rPr>
      </w:pPr>
    </w:p>
    <w:p w14:paraId="5199F636">
      <w:pPr>
        <w:adjustRightInd w:val="0"/>
        <w:spacing w:before="100" w:after="60" w:line="360" w:lineRule="exact"/>
        <w:jc w:val="left"/>
        <w:rPr>
          <w:rFonts w:ascii="黑体" w:eastAsia="黑体" w:hAnsi="黑体"/>
          <w:sz w:val="24"/>
        </w:rPr>
      </w:pPr>
      <w:r>
        <w:rPr>
          <w:rFonts w:ascii="黑体" w:eastAsia="黑体" w:hAnsi="黑体" w:hint="eastAsia"/>
          <w:sz w:val="24"/>
        </w:rPr>
        <w:t>3 治理工程设计方案</w:t>
      </w:r>
    </w:p>
    <w:p w14:paraId="623CE83E">
      <w:pPr>
        <w:adjustRightInd w:val="0"/>
        <w:spacing w:before="40" w:after="20" w:line="360" w:lineRule="exact"/>
        <w:jc w:val="left"/>
        <w:rPr>
          <w:rFonts w:ascii="黑体" w:eastAsia="黑体" w:hAnsi="黑体" w:hint="eastAsia"/>
          <w:sz w:val="22"/>
        </w:rPr>
      </w:pPr>
      <w:r>
        <w:rPr>
          <w:rFonts w:ascii="黑体" w:eastAsia="黑体" w:hAnsi="黑体" w:hint="eastAsia"/>
          <w:sz w:val="22"/>
        </w:rPr>
        <w:t xml:space="preserve"> 3.1 治理思路与方案比选</w:t>
      </w:r>
    </w:p>
    <w:p w14:paraId="79D34738">
      <w:pPr>
        <w:spacing w:line="340" w:lineRule="exact"/>
        <w:ind w:firstLine="400" w:firstLineChars="200"/>
        <w:rPr>
          <w:rFonts w:ascii="宋体" w:eastAsia="宋体" w:hAnsi="宋体" w:hint="eastAsia"/>
          <w:sz w:val="20"/>
        </w:rPr>
      </w:pPr>
      <w:r>
        <w:rPr>
          <w:rFonts w:ascii="宋体" w:eastAsia="宋体" w:hAnsi="宋体" w:hint="eastAsia"/>
          <w:sz w:val="20"/>
        </w:rPr>
        <w:t>治理重点在于恢复坡体下部支撑、控制坡体变形，恢复道路通行。根据坡体紧靠房屋、作业面狭窄、缺少土方外运条件的特点，对三种方案进行比较，见表1。</w:t>
      </w:r>
    </w:p>
    <w:p w14:paraId="6E20F1EB">
      <w:pPr>
        <w:spacing w:line="340" w:lineRule="exact"/>
        <w:jc w:val="center"/>
        <w:rPr>
          <w:rFonts w:ascii="宋体" w:eastAsia="宋体" w:hAnsi="宋体" w:hint="eastAsia"/>
          <w:sz w:val="20"/>
        </w:rPr>
      </w:pPr>
      <w:r>
        <w:rPr>
          <w:rFonts w:ascii="宋体" w:eastAsia="宋体" w:hAnsi="宋体" w:hint="eastAsia"/>
          <w:sz w:val="20"/>
        </w:rPr>
        <w:t>表1 治理方案比选</w:t>
      </w:r>
    </w:p>
    <w:tbl>
      <w:tblPr>
        <w:tblStyle w:val="TableGrid"/>
        <w:tblW w:w="472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16"/>
        <w:gridCol w:w="1652"/>
        <w:gridCol w:w="2461"/>
      </w:tblGrid>
      <w:tr w14:paraId="592F99F8">
        <w:tblPrEx>
          <w:tblW w:w="472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16" w:type="dxa"/>
            <w:shd w:val="clear" w:color="auto" w:fill="auto"/>
            <w:vAlign w:val="center"/>
          </w:tcPr>
          <w:p w14:paraId="0D022651">
            <w:pPr>
              <w:spacing w:line="340" w:lineRule="exact"/>
              <w:jc w:val="center"/>
              <w:rPr>
                <w:rFonts w:ascii="宋体" w:eastAsia="宋体" w:hAnsi="宋体" w:hint="eastAsia"/>
                <w:sz w:val="20"/>
                <w:lang w:val="en-US" w:eastAsia="zh-CN"/>
              </w:rPr>
            </w:pPr>
            <w:r>
              <w:rPr>
                <w:rFonts w:ascii="宋体" w:eastAsia="宋体" w:hAnsi="宋体" w:hint="eastAsia"/>
                <w:sz w:val="20"/>
                <w:lang w:val="en-US" w:eastAsia="zh-CN"/>
              </w:rPr>
              <w:t>方案</w:t>
            </w:r>
          </w:p>
        </w:tc>
        <w:tc>
          <w:tcPr>
            <w:tcW w:w="1652" w:type="dxa"/>
            <w:shd w:val="clear" w:color="auto" w:fill="auto"/>
            <w:vAlign w:val="center"/>
          </w:tcPr>
          <w:p w14:paraId="3282E09E">
            <w:pPr>
              <w:spacing w:line="340" w:lineRule="exact"/>
              <w:jc w:val="center"/>
              <w:rPr>
                <w:rFonts w:ascii="宋体" w:eastAsia="宋体" w:hAnsi="宋体" w:hint="eastAsia"/>
                <w:sz w:val="20"/>
                <w:lang w:val="en-US" w:eastAsia="zh-CN"/>
              </w:rPr>
            </w:pPr>
            <w:r>
              <w:rPr>
                <w:rFonts w:ascii="宋体" w:eastAsia="宋体" w:hAnsi="宋体" w:hint="eastAsia"/>
                <w:sz w:val="20"/>
                <w:lang w:val="en-US" w:eastAsia="zh-CN"/>
              </w:rPr>
              <w:t>主要措施</w:t>
            </w:r>
          </w:p>
        </w:tc>
        <w:tc>
          <w:tcPr>
            <w:tcW w:w="2461" w:type="dxa"/>
            <w:shd w:val="clear" w:color="auto" w:fill="auto"/>
            <w:vAlign w:val="center"/>
          </w:tcPr>
          <w:p w14:paraId="4554FB16">
            <w:pPr>
              <w:spacing w:line="340" w:lineRule="exact"/>
              <w:jc w:val="center"/>
              <w:rPr>
                <w:rFonts w:ascii="宋体" w:eastAsia="宋体" w:hAnsi="宋体" w:hint="eastAsia"/>
                <w:sz w:val="20"/>
                <w:lang w:val="en-US" w:eastAsia="zh-CN"/>
              </w:rPr>
            </w:pPr>
            <w:r>
              <w:rPr>
                <w:rFonts w:ascii="宋体" w:eastAsia="宋体" w:hAnsi="宋体" w:hint="eastAsia"/>
                <w:sz w:val="20"/>
                <w:lang w:val="en-US" w:eastAsia="zh-CN"/>
              </w:rPr>
              <w:t>适用性分析</w:t>
            </w:r>
          </w:p>
        </w:tc>
      </w:tr>
      <w:tr w14:paraId="5056144D">
        <w:tblPrEx>
          <w:tblW w:w="4729" w:type="dxa"/>
          <w:tblInd w:w="0" w:type="dxa"/>
          <w:tblCellMar>
            <w:top w:w="0" w:type="dxa"/>
            <w:left w:w="108" w:type="dxa"/>
            <w:bottom w:w="0" w:type="dxa"/>
            <w:right w:w="108" w:type="dxa"/>
          </w:tblCellMar>
        </w:tblPrEx>
        <w:tc>
          <w:tcPr>
            <w:tcW w:w="616" w:type="dxa"/>
            <w:shd w:val="clear" w:color="auto" w:fill="auto"/>
            <w:vAlign w:val="center"/>
          </w:tcPr>
          <w:p w14:paraId="29248A68">
            <w:pPr>
              <w:spacing w:line="340" w:lineRule="exact"/>
              <w:rPr>
                <w:rFonts w:ascii="宋体" w:eastAsia="宋体" w:hAnsi="宋体" w:hint="eastAsia"/>
                <w:sz w:val="20"/>
                <w:lang w:val="en-US" w:eastAsia="zh-CN"/>
              </w:rPr>
            </w:pPr>
            <w:r>
              <w:rPr>
                <w:rFonts w:ascii="宋体" w:eastAsia="宋体" w:hAnsi="宋体" w:hint="eastAsia"/>
                <w:sz w:val="20"/>
                <w:lang w:val="en-US" w:eastAsia="zh-CN"/>
              </w:rPr>
              <w:t>削坡减载</w:t>
            </w:r>
          </w:p>
        </w:tc>
        <w:tc>
          <w:tcPr>
            <w:tcW w:w="1652" w:type="dxa"/>
            <w:shd w:val="clear" w:color="auto" w:fill="auto"/>
            <w:vAlign w:val="center"/>
          </w:tcPr>
          <w:p w14:paraId="194B25A2">
            <w:pPr>
              <w:spacing w:line="340" w:lineRule="exact"/>
              <w:rPr>
                <w:rFonts w:ascii="宋体" w:eastAsia="宋体" w:hAnsi="宋体" w:hint="eastAsia"/>
                <w:sz w:val="20"/>
                <w:lang w:val="en-US" w:eastAsia="zh-CN"/>
              </w:rPr>
            </w:pPr>
            <w:r>
              <w:rPr>
                <w:rFonts w:ascii="宋体" w:eastAsia="宋体" w:hAnsi="宋体" w:hint="eastAsia"/>
                <w:sz w:val="20"/>
                <w:lang w:val="en-US" w:eastAsia="zh-CN"/>
              </w:rPr>
              <w:t>放缓坡率，清除上部松散土体</w:t>
            </w:r>
          </w:p>
        </w:tc>
        <w:tc>
          <w:tcPr>
            <w:tcW w:w="2461" w:type="dxa"/>
            <w:shd w:val="clear" w:color="auto" w:fill="auto"/>
            <w:vAlign w:val="center"/>
          </w:tcPr>
          <w:p w14:paraId="6E0AD58E">
            <w:pPr>
              <w:spacing w:line="340" w:lineRule="exact"/>
              <w:rPr>
                <w:rFonts w:ascii="宋体" w:eastAsia="宋体" w:hAnsi="宋体" w:hint="eastAsia"/>
                <w:sz w:val="20"/>
                <w:lang w:val="en-US" w:eastAsia="zh-CN"/>
              </w:rPr>
            </w:pPr>
            <w:r>
              <w:rPr>
                <w:rFonts w:ascii="宋体" w:eastAsia="宋体" w:hAnsi="宋体" w:hint="eastAsia"/>
                <w:sz w:val="20"/>
                <w:lang w:val="en-US" w:eastAsia="zh-CN"/>
              </w:rPr>
              <w:t>需要较大外运场地，坡顶紧邻道路与房屋，开挖易诱发新的变形</w:t>
            </w:r>
          </w:p>
        </w:tc>
      </w:tr>
      <w:tr w14:paraId="007ECCD4">
        <w:tblPrEx>
          <w:tblW w:w="4729" w:type="dxa"/>
          <w:tblInd w:w="0" w:type="dxa"/>
          <w:tblCellMar>
            <w:top w:w="0" w:type="dxa"/>
            <w:left w:w="108" w:type="dxa"/>
            <w:bottom w:w="0" w:type="dxa"/>
            <w:right w:w="108" w:type="dxa"/>
          </w:tblCellMar>
        </w:tblPrEx>
        <w:tc>
          <w:tcPr>
            <w:tcW w:w="616" w:type="dxa"/>
            <w:shd w:val="clear" w:color="auto" w:fill="auto"/>
            <w:vAlign w:val="center"/>
          </w:tcPr>
          <w:p w14:paraId="3BBDA846">
            <w:pPr>
              <w:spacing w:line="340" w:lineRule="exact"/>
              <w:rPr>
                <w:rFonts w:ascii="宋体" w:eastAsia="宋体" w:hAnsi="宋体" w:hint="eastAsia"/>
                <w:sz w:val="20"/>
                <w:lang w:val="en-US" w:eastAsia="zh-CN"/>
              </w:rPr>
            </w:pPr>
            <w:r>
              <w:rPr>
                <w:rFonts w:ascii="宋体" w:eastAsia="宋体" w:hAnsi="宋体" w:hint="eastAsia"/>
                <w:sz w:val="20"/>
                <w:lang w:val="en-US" w:eastAsia="zh-CN"/>
              </w:rPr>
              <w:t>重力式挡土墙</w:t>
            </w:r>
          </w:p>
        </w:tc>
        <w:tc>
          <w:tcPr>
            <w:tcW w:w="1652" w:type="dxa"/>
            <w:shd w:val="clear" w:color="auto" w:fill="auto"/>
            <w:vAlign w:val="center"/>
          </w:tcPr>
          <w:p w14:paraId="67B6FB65">
            <w:pPr>
              <w:spacing w:line="340" w:lineRule="exact"/>
              <w:rPr>
                <w:rFonts w:ascii="宋体" w:eastAsia="宋体" w:hAnsi="宋体" w:hint="eastAsia"/>
                <w:sz w:val="20"/>
                <w:lang w:val="en-US" w:eastAsia="zh-CN"/>
              </w:rPr>
            </w:pPr>
            <w:r>
              <w:rPr>
                <w:rFonts w:ascii="宋体" w:eastAsia="宋体" w:hAnsi="宋体" w:hint="eastAsia"/>
                <w:sz w:val="20"/>
                <w:lang w:val="en-US" w:eastAsia="zh-CN"/>
              </w:rPr>
              <w:t>坡脚砌筑重力式挡墙</w:t>
            </w:r>
          </w:p>
        </w:tc>
        <w:tc>
          <w:tcPr>
            <w:tcW w:w="2461" w:type="dxa"/>
            <w:shd w:val="clear" w:color="auto" w:fill="auto"/>
            <w:vAlign w:val="center"/>
          </w:tcPr>
          <w:p w14:paraId="01CF553B">
            <w:pPr>
              <w:spacing w:line="340" w:lineRule="exact"/>
              <w:rPr>
                <w:rFonts w:ascii="宋体" w:eastAsia="宋体" w:hAnsi="宋体" w:hint="eastAsia"/>
                <w:sz w:val="20"/>
                <w:lang w:val="en-US" w:eastAsia="zh-CN"/>
              </w:rPr>
            </w:pPr>
            <w:r>
              <w:rPr>
                <w:rFonts w:ascii="宋体" w:eastAsia="宋体" w:hAnsi="宋体" w:hint="eastAsia"/>
                <w:sz w:val="20"/>
                <w:lang w:val="en-US" w:eastAsia="zh-CN"/>
              </w:rPr>
              <w:t>坡脚空间有限，基础埋深受限，墙体易随坡体整体变形</w:t>
            </w:r>
          </w:p>
        </w:tc>
      </w:tr>
      <w:tr w14:paraId="2F3ED2A4">
        <w:tblPrEx>
          <w:tblW w:w="4729" w:type="dxa"/>
          <w:tblInd w:w="0" w:type="dxa"/>
          <w:tblCellMar>
            <w:top w:w="0" w:type="dxa"/>
            <w:left w:w="108" w:type="dxa"/>
            <w:bottom w:w="0" w:type="dxa"/>
            <w:right w:w="108" w:type="dxa"/>
          </w:tblCellMar>
        </w:tblPrEx>
        <w:tc>
          <w:tcPr>
            <w:tcW w:w="616" w:type="dxa"/>
            <w:shd w:val="clear" w:color="auto" w:fill="auto"/>
            <w:vAlign w:val="center"/>
          </w:tcPr>
          <w:p w14:paraId="150F694E">
            <w:pPr>
              <w:spacing w:line="340" w:lineRule="exact"/>
              <w:rPr>
                <w:rFonts w:ascii="宋体" w:eastAsia="宋体" w:hAnsi="宋体" w:hint="eastAsia"/>
                <w:sz w:val="20"/>
                <w:lang w:val="en-US" w:eastAsia="zh-CN"/>
              </w:rPr>
            </w:pPr>
            <w:r>
              <w:rPr>
                <w:rFonts w:ascii="宋体" w:eastAsia="宋体" w:hAnsi="宋体" w:hint="eastAsia"/>
                <w:sz w:val="20"/>
                <w:lang w:val="en-US" w:eastAsia="zh-CN"/>
              </w:rPr>
              <w:t>桩筏支挡</w:t>
            </w:r>
          </w:p>
        </w:tc>
        <w:tc>
          <w:tcPr>
            <w:tcW w:w="1652" w:type="dxa"/>
            <w:shd w:val="clear" w:color="auto" w:fill="auto"/>
            <w:vAlign w:val="center"/>
          </w:tcPr>
          <w:p w14:paraId="25E73417">
            <w:pPr>
              <w:spacing w:line="340" w:lineRule="exact"/>
              <w:rPr>
                <w:rFonts w:ascii="宋体" w:eastAsia="宋体" w:hAnsi="宋体" w:hint="eastAsia"/>
                <w:sz w:val="20"/>
                <w:lang w:val="en-US" w:eastAsia="zh-CN"/>
              </w:rPr>
            </w:pPr>
            <w:r>
              <w:rPr>
                <w:rFonts w:ascii="宋体" w:eastAsia="宋体" w:hAnsi="宋体" w:hint="eastAsia"/>
                <w:sz w:val="20"/>
                <w:lang w:val="en-US" w:eastAsia="zh-CN"/>
              </w:rPr>
              <w:t>灌注桩穿过潜在滑移面，筏板连桩，桩板墙挡土</w:t>
            </w:r>
          </w:p>
        </w:tc>
        <w:tc>
          <w:tcPr>
            <w:tcW w:w="2461" w:type="dxa"/>
            <w:shd w:val="clear" w:color="auto" w:fill="auto"/>
            <w:vAlign w:val="center"/>
          </w:tcPr>
          <w:p w14:paraId="44F3A0D4">
            <w:pPr>
              <w:spacing w:line="340" w:lineRule="exact"/>
              <w:rPr>
                <w:rFonts w:ascii="宋体" w:eastAsia="宋体" w:hAnsi="宋体" w:hint="eastAsia"/>
                <w:sz w:val="20"/>
                <w:lang w:val="en-US" w:eastAsia="zh-CN"/>
              </w:rPr>
            </w:pPr>
            <w:r>
              <w:rPr>
                <w:rFonts w:ascii="宋体" w:eastAsia="宋体" w:hAnsi="宋体" w:hint="eastAsia"/>
                <w:sz w:val="20"/>
                <w:lang w:val="en-US" w:eastAsia="zh-CN"/>
              </w:rPr>
              <w:t>支挡可靠，可分段人工施工，对坡体扰动小，适合狭窄场地</w:t>
            </w:r>
          </w:p>
        </w:tc>
      </w:tr>
    </w:tbl>
    <w:p w14:paraId="69E9E686">
      <w:pPr>
        <w:spacing w:line="340" w:lineRule="exact"/>
        <w:ind w:firstLine="400" w:firstLineChars="200"/>
        <w:rPr>
          <w:rFonts w:ascii="宋体" w:eastAsia="宋体" w:hAnsi="宋体" w:hint="eastAsia"/>
          <w:sz w:val="20"/>
        </w:rPr>
      </w:pPr>
      <w:r>
        <w:rPr>
          <w:rFonts w:ascii="宋体" w:eastAsia="宋体" w:hAnsi="宋体" w:hint="eastAsia"/>
          <w:sz w:val="20"/>
        </w:rPr>
        <w:t>经过比选，以抗滑桩为主、筏板基础和桩板墙共同组成的桩筏支挡方案，排水、路面、监测工程配套。该方案受力路径清楚，桩身、筏板可以现场分段浇筑，人工开挖桩孔对坡体扰动小，施工振动、噪声均小于大型机械作业，适合于靠近住户的施工环境。</w:t>
      </w:r>
    </w:p>
    <w:p w14:paraId="6E18E5E9">
      <w:pPr>
        <w:adjustRightInd w:val="0"/>
        <w:spacing w:before="40" w:after="20" w:line="360" w:lineRule="exact"/>
        <w:jc w:val="left"/>
        <w:rPr>
          <w:rFonts w:ascii="黑体" w:eastAsia="黑体" w:hAnsi="黑体" w:hint="eastAsia"/>
          <w:sz w:val="22"/>
        </w:rPr>
      </w:pPr>
      <w:r>
        <w:rPr>
          <w:rFonts w:ascii="黑体" w:eastAsia="黑体" w:hAnsi="黑体" w:hint="eastAsia"/>
          <w:sz w:val="22"/>
        </w:rPr>
        <w:t>3.2 坡面清理与施工平台</w:t>
      </w:r>
    </w:p>
    <w:p w14:paraId="72D84463">
      <w:pPr>
        <w:spacing w:line="340" w:lineRule="exact"/>
        <w:ind w:firstLine="400" w:firstLineChars="200"/>
        <w:rPr>
          <w:rFonts w:ascii="宋体" w:eastAsia="宋体" w:hAnsi="宋体" w:hint="eastAsia"/>
          <w:sz w:val="20"/>
        </w:rPr>
      </w:pPr>
      <w:r>
        <w:rPr>
          <w:rFonts w:ascii="宋体" w:eastAsia="宋体" w:hAnsi="宋体" w:hint="eastAsia"/>
          <w:sz w:val="20"/>
        </w:rPr>
        <w:t>坡面清理人工加小型机械自上而下、分区分段清除崩塌堆积体和松动土体，清理一片、验收一片。填方作业面修整成高度约40cm的台阶，台阶面平整、搭接紧密，清理和台阶修整工程量为120.71m³。清理验收之后浇筑C30素混凝土施工平台，平台顶部高程957.7m，混凝土用量约52.63m³，给桩孔开挖、钢筋作业提供稳定的作业面，同时对坡脚形成临时反压。平台边缘设临时排水坡，将坡面来水引离作业面，防止积水影响桩孔施工。</w:t>
      </w:r>
    </w:p>
    <w:p w14:paraId="05CA3B73">
      <w:pPr>
        <w:adjustRightInd w:val="0"/>
        <w:spacing w:before="40" w:after="20" w:line="360" w:lineRule="exact"/>
        <w:jc w:val="left"/>
        <w:rPr>
          <w:rFonts w:ascii="黑体" w:eastAsia="黑体" w:hAnsi="黑体" w:hint="eastAsia"/>
          <w:sz w:val="22"/>
        </w:rPr>
      </w:pPr>
      <w:r>
        <w:rPr>
          <w:rFonts w:ascii="黑体" w:eastAsia="黑体" w:hAnsi="黑体" w:hint="eastAsia"/>
          <w:sz w:val="22"/>
        </w:rPr>
        <w:t>3.3 抗滑桩与筏板基础</w:t>
      </w:r>
    </w:p>
    <w:p w14:paraId="3FDC6749">
      <w:pPr>
        <w:spacing w:line="340" w:lineRule="exact"/>
        <w:ind w:firstLine="400" w:firstLineChars="200"/>
        <w:rPr>
          <w:rFonts w:ascii="宋体" w:eastAsia="宋体" w:hAnsi="宋体" w:hint="eastAsia"/>
          <w:sz w:val="20"/>
        </w:rPr>
      </w:pPr>
      <w:r>
        <w:rPr>
          <w:rFonts w:ascii="宋体" w:eastAsia="宋体" w:hAnsi="宋体" w:hint="eastAsia"/>
          <w:sz w:val="20"/>
        </w:rPr>
        <w:t>沿路面下方设置9根圆形灌注桩，桩径为0.8m，桩间距为3.0m，桩长为11～13m，桩端嵌入稳定地层，抗滑力矩满足设计安全系数。桩身分为受荷段和锚固段，滑动面以上受荷段承受坡体下滑推力，滑动面以下锚固段依靠桩周地层侧向抗力保持桩身平衡，将推力传到下部稳定地层。桩孔采用人工开挖，隔桩跳打，先施工单号桩，桩身达到强度后再施工双号桩，防止相邻桩孔同时开挖引起坡体失稳。每开挖1m设一道钢筋混凝土护壁，随挖随护。桩身主筋为HRB400级φ32钢筋，桩顶至路面标高段断面为0.8m×0.8m方桩，与筏板基础连接。桩顶设厚0.4m的钢筋混凝土筏板基础，筏板利用整体刚度把各个单桩联结成排架结构，可以避免个别桩位受力过大，也可以适应桩间微小的变形差异，使路面荷载和坡体推力均匀传递到各个桩上。</w:t>
      </w:r>
    </w:p>
    <w:p w14:paraId="251C5943">
      <w:pPr>
        <w:adjustRightInd w:val="0"/>
        <w:spacing w:before="40" w:after="20" w:line="360" w:lineRule="exact"/>
        <w:jc w:val="left"/>
        <w:rPr>
          <w:rFonts w:ascii="黑体" w:eastAsia="黑体" w:hAnsi="黑体" w:hint="eastAsia"/>
          <w:sz w:val="22"/>
        </w:rPr>
      </w:pPr>
      <w:r>
        <w:rPr>
          <w:rFonts w:ascii="黑体" w:eastAsia="黑体" w:hAnsi="黑体" w:hint="eastAsia"/>
          <w:sz w:val="22"/>
        </w:rPr>
        <w:t>3.4 桩板墙与封闭挡护</w:t>
      </w:r>
    </w:p>
    <w:p w14:paraId="14127542">
      <w:pPr>
        <w:spacing w:line="340" w:lineRule="exact"/>
        <w:ind w:firstLine="400" w:firstLineChars="200"/>
        <w:rPr>
          <w:rFonts w:ascii="宋体" w:eastAsia="宋体" w:hAnsi="宋体" w:hint="eastAsia"/>
          <w:sz w:val="20"/>
        </w:rPr>
      </w:pPr>
      <w:r>
        <w:rPr>
          <w:rFonts w:ascii="宋体" w:eastAsia="宋体" w:hAnsi="宋体" w:hint="eastAsia"/>
          <w:sz w:val="20"/>
        </w:rPr>
        <w:t>筏板上方、桩间空隙部位设置桩板墙，墙高0.3～2.8m，墙厚30cm，沿坡面走向布置并与两侧自然地形闭合，拦截桩间土体和坡面碎石。筏板顶面以上用M10水泥砂浆砌筑粘土砖墙体，砌到距原路面标高0.3m处，灰缝饱满、横平竖直。桩板墙及砖墙内设置间距为150～200mm的PVC排水管，将墙后积水及时排到墙外。墙体沿坡面方向连续闭合，桩、板、墙一起组成完整的挡土体系，坡面上的土石都被拦在墙体后面。</w:t>
      </w:r>
    </w:p>
    <w:p w14:paraId="4983D7E4">
      <w:pPr>
        <w:spacing w:line="340" w:lineRule="exact"/>
        <w:rPr>
          <w:rFonts w:ascii="黑体" w:eastAsia="黑体" w:hAnsi="黑体" w:hint="eastAsia"/>
          <w:sz w:val="22"/>
        </w:rPr>
      </w:pPr>
      <w:r>
        <w:rPr>
          <w:rFonts w:ascii="黑体" w:eastAsia="黑体" w:hAnsi="黑体" w:hint="eastAsia"/>
          <w:sz w:val="22"/>
        </w:rPr>
        <w:t>3.5 排水工程</w:t>
      </w:r>
    </w:p>
    <w:p w14:paraId="74DA3378">
      <w:pPr>
        <w:spacing w:line="340" w:lineRule="exact"/>
        <w:ind w:firstLine="400" w:firstLineChars="200"/>
        <w:rPr>
          <w:rFonts w:ascii="宋体" w:eastAsia="宋体" w:hAnsi="宋体" w:hint="eastAsia"/>
          <w:sz w:val="20"/>
        </w:rPr>
      </w:pPr>
      <w:r>
        <w:rPr>
          <w:rFonts w:ascii="宋体" w:eastAsia="宋体" w:hAnsi="宋体" w:hint="eastAsia"/>
          <w:sz w:val="20"/>
        </w:rPr>
        <w:t>沿坡底新建矩形断面现浇混凝土排水渠，总长55m，底宽0.5m，渠高0.6m，渠底按设计纵坡施工，与墙身排水管和自然冲沟衔接，收集坡面和路面汇水，减少雨水下渗。墙身PVC排水管、坡底排水渠、路面横坡一起组成排水系统，使墙后积水、坡面径流、路面雨水有各自出路，防止在坡脚处积聚。排水渠设置在抗滑桩、筏板基础、桩板墙等支挡结构完成后，且达到强度后施工。渠基槽开挖和排水孔施工会造成坡脚临空、扰动墙后土体，如果在支挡结构形成之前进行，坡体容易沿开挖面再次滑移。施工期间通过施工平台边缘临时排水坡把汇水导离作业面，保证开挖、桩孔施工不受积水影响。</w:t>
      </w:r>
    </w:p>
    <w:p w14:paraId="75E56DB2">
      <w:pPr>
        <w:spacing w:line="340" w:lineRule="exact"/>
        <w:rPr>
          <w:rFonts w:ascii="黑体" w:eastAsia="黑体" w:hAnsi="黑体" w:hint="eastAsia"/>
          <w:sz w:val="22"/>
        </w:rPr>
      </w:pPr>
      <w:r>
        <w:rPr>
          <w:rFonts w:ascii="黑体" w:eastAsia="黑体" w:hAnsi="黑体" w:hint="eastAsia"/>
          <w:sz w:val="22"/>
        </w:rPr>
        <w:t xml:space="preserve"> 3.6 路面硬化与护栏</w:t>
      </w:r>
    </w:p>
    <w:p w14:paraId="2F8FAB49">
      <w:pPr>
        <w:spacing w:line="340" w:lineRule="exact"/>
        <w:ind w:firstLine="400" w:firstLineChars="200"/>
        <w:rPr>
          <w:rFonts w:ascii="宋体" w:eastAsia="宋体" w:hAnsi="宋体" w:hint="eastAsia"/>
          <w:sz w:val="20"/>
        </w:rPr>
      </w:pPr>
      <w:r>
        <w:rPr>
          <w:rFonts w:ascii="宋体" w:eastAsia="宋体" w:hAnsi="宋体" w:hint="eastAsia"/>
          <w:sz w:val="20"/>
        </w:rPr>
        <w:t>路面分两层浇筑C30混凝土，总厚度为20cm，分层分段浇筑，表层按5%坡度向内找坡，使雨水有组织地汇入排水渠。硬化路面恢复了道路原有的通行功能，封闭的混凝土面层又切断了雨水沿路面下渗的通道。路面外侧设长35m、高1.2m的钢管护栏，立柱间距均匀、焊接牢固，防止行人、车辆靠近边坡。</w:t>
      </w:r>
    </w:p>
    <w:p w14:paraId="6DFC7255">
      <w:pPr>
        <w:spacing w:line="340" w:lineRule="exact"/>
        <w:rPr>
          <w:rFonts w:ascii="黑体" w:eastAsia="黑体" w:hAnsi="黑体" w:hint="eastAsia"/>
          <w:sz w:val="22"/>
        </w:rPr>
      </w:pPr>
      <w:r>
        <w:rPr>
          <w:rFonts w:ascii="黑体" w:eastAsia="黑体" w:hAnsi="黑体" w:hint="eastAsia"/>
          <w:sz w:val="22"/>
        </w:rPr>
        <w:t>3.7 施工时序与动态控制</w:t>
      </w:r>
    </w:p>
    <w:p w14:paraId="5DC88463">
      <w:pPr>
        <w:spacing w:line="340" w:lineRule="exact"/>
        <w:ind w:firstLine="400" w:firstLineChars="200"/>
        <w:rPr>
          <w:rFonts w:ascii="宋体" w:eastAsia="宋体" w:hAnsi="宋体" w:hint="eastAsia"/>
          <w:sz w:val="20"/>
        </w:rPr>
      </w:pPr>
      <w:r>
        <w:rPr>
          <w:rFonts w:ascii="宋体" w:eastAsia="宋体" w:hAnsi="宋体" w:hint="eastAsia"/>
          <w:sz w:val="20"/>
        </w:rPr>
        <w:t>施工顺序为坡面清理、施工平台浇筑、抗滑桩、筏板基础、桩板墙及砖墙、排水渠、路面硬化、护栏安装。桩孔严格隔桩跳打，不能相邻桩孔同时开挖。坡面清理之后减少长时间裸露，各个工序紧密衔接，防止雨水沿开挖面集中入渗。根据开挖后地层情况核对支护参数，实行动态设计，当变形监测数据超过限值时立即停工，查明原因并采取措施后再复工。</w:t>
      </w:r>
    </w:p>
    <w:p w14:paraId="26A856BE">
      <w:pPr>
        <w:spacing w:line="340" w:lineRule="exact"/>
        <w:ind w:firstLine="400" w:firstLineChars="200"/>
        <w:rPr>
          <w:rFonts w:ascii="宋体" w:eastAsia="宋体" w:hAnsi="宋体"/>
          <w:sz w:val="20"/>
        </w:rPr>
      </w:pPr>
    </w:p>
    <w:p w14:paraId="65DDDE2E">
      <w:pPr>
        <w:adjustRightInd w:val="0"/>
        <w:spacing w:before="40" w:after="20" w:line="360" w:lineRule="exact"/>
        <w:jc w:val="left"/>
        <w:rPr>
          <w:rFonts w:ascii="黑体" w:eastAsia="黑体" w:hAnsi="黑体"/>
          <w:sz w:val="22"/>
        </w:rPr>
      </w:pPr>
      <w:r>
        <w:rPr>
          <w:rFonts w:ascii="黑体" w:eastAsia="黑体" w:hAnsi="黑体" w:hint="eastAsia"/>
          <w:sz w:val="22"/>
        </w:rPr>
        <w:t>4 监测工程设计</w:t>
      </w:r>
    </w:p>
    <w:p w14:paraId="52E7F563">
      <w:pPr>
        <w:spacing w:line="340" w:lineRule="exact"/>
        <w:ind w:firstLine="400" w:firstLineChars="200"/>
        <w:rPr>
          <w:rFonts w:ascii="宋体" w:eastAsia="宋体" w:hAnsi="宋体"/>
          <w:sz w:val="20"/>
        </w:rPr>
      </w:pPr>
      <w:r>
        <w:rPr>
          <w:rFonts w:ascii="宋体" w:eastAsia="宋体" w:hAnsi="宋体" w:hint="eastAsia"/>
          <w:sz w:val="20"/>
        </w:rPr>
        <w:t>在场地周边稳定区设置3个地面位移监测基准点，在坡体及治理结构重要部位布置7个施工动态监测点，主要观测抗滑桩、桩板墙位移变化情况，并观测房屋、路面沉降、裂缝发展。施工期每日观测，共700多点次，数据异常立即报警，指导现场施工调整。观测仪器、人员、路线固定，基准点和监测点构成闭合观测路线，保证数据连续可比。竣工后转为效果监测，观测频率改为每月一次，观测周期为一年，共84点次，对坡体、结构运行状态进行跟踪，评价治理效果。仪器监测和日常巡查相结合，坡体或者房屋出现新的裂缝、位移加快的时候及时组织复核，保证施工期和运行期的安全。</w:t>
      </w:r>
    </w:p>
    <w:p w14:paraId="78D8BBDB">
      <w:pPr>
        <w:adjustRightInd w:val="0"/>
        <w:spacing w:before="100" w:after="60" w:line="360" w:lineRule="exact"/>
        <w:jc w:val="left"/>
        <w:rPr>
          <w:rFonts w:ascii="黑体" w:eastAsia="黑体" w:hAnsi="黑体"/>
          <w:sz w:val="24"/>
        </w:rPr>
      </w:pPr>
      <w:r>
        <w:rPr>
          <w:rFonts w:ascii="黑体" w:eastAsia="黑体" w:hAnsi="黑体" w:hint="eastAsia"/>
          <w:sz w:val="24"/>
        </w:rPr>
        <w:t>4 结束语</w:t>
      </w:r>
    </w:p>
    <w:p w14:paraId="219A2255">
      <w:pPr>
        <w:spacing w:line="340" w:lineRule="exact"/>
        <w:ind w:firstLine="400" w:firstLineChars="200"/>
      </w:pPr>
      <w:r>
        <w:rPr>
          <w:rFonts w:ascii="宋体" w:eastAsia="宋体" w:hAnsi="宋体" w:hint="eastAsia"/>
          <w:sz w:val="20"/>
        </w:rPr>
        <w:t>紫金沟崩塌是由降水、冻融、地层岩性、人类工程活动共同造成的，目前稳定性差、复发风险大。治理以抗滑桩为主，筏板基础和桩板墙整体挡护、排水和路面工程配套，全过程监测，先支挡后排水，支挡可靠、扰动可控，消除崩塌隐患、恢复道路通行。本文没有对桩土共同作用、墙后水压力做定量计算，不同黄土丘陵区坡体结构也存在差异，后续可以结合桩身受力监测、长期位移数据，分析不同降雨条件下桩土共同作用，完善小型崩塌治理的定量设计方法，为轻型支挡结构长期性能评价提供资料。</w:t>
      </w:r>
    </w:p>
    <w:p w14:paraId="52123029"/>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541F1DA">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C01694E">
    <w:pPr>
      <w:spacing w:line="240" w:lineRule="exact"/>
      <w:jc w:val="right"/>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F2B1F92">
    <w:pPr>
      <w:snapToGrid w:val="0"/>
      <w:spacing w:line="240" w:lineRule="exact"/>
      <w:jc w:val="left"/>
      <w:rPr>
        <w:rFonts w:ascii="楷体" w:eastAsia="楷体" w:hAnsi="楷体" w:cs="Calibri"/>
        <w:sz w:val="18"/>
        <w:szCs w:val="18"/>
      </w:rPr>
    </w:pPr>
  </w:p>
  <w:p w14:paraId="240D9F9B">
    <w:pPr>
      <w:snapToGrid w:val="0"/>
      <w:spacing w:line="240" w:lineRule="exact"/>
      <w:jc w:val="left"/>
      <w:rPr>
        <w:rFonts w:ascii="楷体" w:eastAsia="楷体" w:hAnsi="楷体" w:cs="Calibri" w:hint="eastAsia"/>
        <w:sz w:val="18"/>
        <w:szCs w:val="18"/>
      </w:rPr>
    </w:pPr>
    <w:r>
      <w:rPr>
        <w:rFonts w:ascii="楷体" w:eastAsia="楷体" w:hAnsi="楷体" w:cs="Calibri" w:hint="eastAsia"/>
        <w:sz w:val="18"/>
        <w:szCs w:val="18"/>
      </w:rPr>
      <w:t>作者简介：李俊杰（1988—），男，汉族，山西吕梁人，硕士研究生学历，研究方向为水工环地质。</w:t>
    </w:r>
  </w:p>
  <w:p w14:paraId="46047114">
    <w:pPr>
      <w:snapToGrid w:val="0"/>
      <w:spacing w:line="240" w:lineRule="exact"/>
      <w:jc w:val="left"/>
      <w:rPr>
        <w:rFonts w:ascii="楷体" w:eastAsia="楷体" w:hAnsi="楷体"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E96378A">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中文科技期刊数据库（文摘版）自然科学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AB230C7">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中文科技期刊数据库（文摘版）自然科学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684FEE5">
    <w:pPr>
      <w:pBdr>
        <w:bottom w:val="single" w:sz="4" w:space="1" w:color="auto"/>
      </w:pBdr>
      <w:tabs>
        <w:tab w:val="center" w:pos="4153"/>
        <w:tab w:val="right" w:pos="8306"/>
      </w:tabs>
      <w:snapToGrid w:val="0"/>
      <w:spacing w:line="240" w:lineRule="exac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86C5B9C"/>
    <w:rsid w:val="444A60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2026-10-22T01:37:01Z</dcterms:created>
  <dcterms:modified xsi:type="dcterms:W3CDTF">2026-10-22T01:37:24Z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3937B5EF92DB4670A5964E2C4BF0343C_12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