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C7CA3F7">
      <w:pPr>
        <w:rPr>
          <w:rFonts w:asciiTheme="minorEastAsia" w:eastAsiaTheme="minorEastAsia" w:hAnsiTheme="minorEastAsia" w:cstheme="minorEastAsia" w:hint="eastAsia"/>
          <w:color w:val="E54C5E" w:themeColor="accent6"/>
          <w14:textFill>
            <w14:solidFill>
              <w14:schemeClr w14:val="accent6"/>
            </w14:solidFill>
          </w14:textFill>
        </w:rPr>
      </w:pPr>
      <w:r>
        <w:rPr>
          <w:rFonts w:asciiTheme="minorEastAsia" w:eastAsiaTheme="minorEastAsia" w:hAnsiTheme="minorEastAsia" w:cstheme="minorEastAsia" w:hint="eastAsia"/>
          <w:color w:val="E54C5E" w:themeColor="accent6"/>
          <w14:textFill>
            <w14:solidFill>
              <w14:schemeClr w14:val="accent6"/>
            </w14:solidFill>
          </w14:textFill>
        </w:rPr>
        <w:t>幸福德育视角下的新的分析视角冲破了传统高中班级管理中重秩序、轻成长，重分数、轻素养，重管控、轻情感的单一价值束缚，实现了班级育人价值全方位、深层次的重新塑造，使班级管理由事务型管控转向成长型引导。该套新的分析框架下的班级管理，把学生的全面发展作为主要的价值内核，把学生人格健全、心理幸福、素养提高、能力发展作为核心的育人内容，构建</w:t>
      </w:r>
      <w:bookmarkStart w:id="0" w:name="_GoBack"/>
      <w:bookmarkEnd w:id="0"/>
      <w:r>
        <w:rPr>
          <w:rFonts w:asciiTheme="minorEastAsia" w:eastAsiaTheme="minorEastAsia" w:hAnsiTheme="minorEastAsia" w:cstheme="minorEastAsia" w:hint="eastAsia"/>
          <w:color w:val="E54C5E" w:themeColor="accent6"/>
          <w14:textFill>
            <w14:solidFill>
              <w14:schemeClr w14:val="accent6"/>
            </w14:solidFill>
          </w14:textFill>
        </w:rPr>
        <w:t>起多元立体的育人价值体系。</w:t>
      </w:r>
    </w:p>
    <w:p w14:paraId="50BF5FBF">
      <w:pPr>
        <w:rPr>
          <w:rFonts w:asciiTheme="minorEastAsia" w:eastAsiaTheme="minorEastAsia" w:hAnsiTheme="minorEastAsia" w:cstheme="minorEastAsia" w:hint="eastAsia"/>
          <w:color w:val="E54C5E" w:themeColor="accent6"/>
          <w14:textFill>
            <w14:solidFill>
              <w14:schemeClr w14:val="accent6"/>
            </w14:solidFill>
          </w14:textFill>
        </w:rPr>
      </w:pPr>
      <w:r>
        <w:rPr>
          <w:rFonts w:asciiTheme="minorEastAsia" w:eastAsiaTheme="minorEastAsia" w:hAnsiTheme="minorEastAsia" w:cstheme="minorEastAsia" w:hint="eastAsia"/>
          <w:color w:val="E54C5E" w:themeColor="accent6"/>
          <w:highlight w:val="yellow"/>
          <w14:textFill>
            <w14:solidFill>
              <w14:schemeClr w14:val="accent6"/>
            </w14:solidFill>
          </w14:textFill>
        </w:rPr>
        <w:t>这项研究的主要目的就是从班级纪</w:t>
      </w:r>
      <w:r>
        <w:rPr>
          <w:rFonts w:asciiTheme="minorEastAsia" w:hAnsiTheme="minorEastAsia" w:cstheme="minorEastAsia" w:hint="eastAsia"/>
          <w:color w:val="E54C5E" w:themeColor="accent6"/>
          <w:highlight w:val="yellow"/>
          <w:lang w:eastAsia="zh-CN"/>
          <w14:textFill>
            <w14:solidFill>
              <w14:schemeClr w14:val="accent6"/>
            </w14:solidFill>
          </w14:textFill>
        </w:rPr>
        <w:t>律</w:t>
      </w:r>
      <w:r>
        <w:rPr>
          <w:rFonts w:asciiTheme="minorEastAsia" w:eastAsiaTheme="minorEastAsia" w:hAnsiTheme="minorEastAsia" w:cstheme="minorEastAsia" w:hint="eastAsia"/>
          <w:color w:val="E54C5E" w:themeColor="accent6"/>
          <w:highlight w:val="yellow"/>
          <w14:textFill>
            <w14:solidFill>
              <w14:schemeClr w14:val="accent6"/>
            </w14:solidFill>
          </w14:textFill>
        </w:rPr>
        <w:t>达标率、学生学业整</w:t>
      </w:r>
      <w:r>
        <w:rPr>
          <w:rFonts w:asciiTheme="minorEastAsia" w:hAnsiTheme="minorEastAsia" w:cstheme="minorEastAsia" w:hint="eastAsia"/>
          <w:color w:val="E54C5E" w:themeColor="accent6"/>
          <w:highlight w:val="yellow"/>
          <w:lang w:eastAsia="zh-CN"/>
          <w14:textFill>
            <w14:solidFill>
              <w14:schemeClr w14:val="accent6"/>
            </w14:solidFill>
          </w14:textFill>
        </w:rPr>
        <w:t>体</w:t>
      </w:r>
      <w:r>
        <w:rPr>
          <w:rFonts w:asciiTheme="minorEastAsia" w:eastAsiaTheme="minorEastAsia" w:hAnsiTheme="minorEastAsia" w:cstheme="minorEastAsia" w:hint="eastAsia"/>
          <w:color w:val="E54C5E" w:themeColor="accent6"/>
          <w:highlight w:val="yellow"/>
          <w14:textFill>
            <w14:solidFill>
              <w14:schemeClr w14:val="accent6"/>
            </w14:solidFill>
          </w14:textFill>
        </w:rPr>
        <w:t>进步率、班级活动参与度这三个主要方面来评价两组班级的发展质量。本学期结束时，对照组班级纪律达标率为91.2%，学生学业总分平均分65.4%，各项统计指标均符合预先设定的标准。在这一组统计中，对照组班级各项活动的参与度为73.5%，实验组班级纪律达标率为98.7%，学生学业总分平均分为82.1%，班级各项活动的</w:t>
      </w:r>
      <w:r>
        <w:rPr>
          <w:rFonts w:asciiTheme="minorEastAsia" w:eastAsiaTheme="minorEastAsia" w:hAnsiTheme="minorEastAsia" w:cstheme="minorEastAsia" w:hint="eastAsia"/>
          <w:color w:val="E54C5E" w:themeColor="accent6"/>
          <w14:textFill>
            <w14:solidFill>
              <w14:schemeClr w14:val="accent6"/>
            </w14:solidFill>
          </w14:textFill>
        </w:rPr>
        <w:t>平均参与度为96.2%。幸福德育多元育人模式依靠正向激励、自主管理等方式，很好地激发了学生的自主成长意识和集体参与的积极性，使纪律管理由原来的被动遵守变为现在的主动维护，学业发展由原来的被动督促变为现在的主动精进，集体活动由原来的被动参与变为现在的主动融入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7874CB"/>
    <w:rsid w:val="237874C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至尊宝。</dc:creator>
  <cp:lastModifiedBy>至尊宝。</cp:lastModifiedBy>
  <cp:revision>1</cp:revision>
  <dcterms:created xsi:type="dcterms:W3CDTF">2026-10-16T07:51:00Z</dcterms:created>
  <dcterms:modified xsi:type="dcterms:W3CDTF">2026-10-16T07:51:40Z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80DAAAFECC15419491F8DAE0BF8946CD_11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eyJoZGlkIjoiMWQ4MjZiMjBjY2M5YzRlNWE0ZWIwYjk3ZTQwMTUzMTQiLCJ1c2VySWQiOiIzMTA0NzM2NDgifQ==</vt:lpwstr>
  </property>
</Properties>
</file>