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5F618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  <w:bookmarkStart w:id="0" w:name="_GoBack"/>
      <w:bookmarkEnd w:id="0"/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（二）权责界面模糊，交叉履职相互推诿</w:t>
      </w:r>
    </w:p>
    <w:p w14:paraId="42344DAB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前期策划、设计优化、施工管控等各个阶段，监理和全过程咨询单位的服务范围存在重合之处，投资控制、进度协调等工作责任主体不明，出现问题时容易造成互相推卸责任的现象。部分建设单位对于咨询服务的定位出现偏差，存在过度干涉专业判断的行为，也存在部分管理职责没有明确下放的情况，从而造成权责界限不清的现象，进而引发履职过程中出现管理空白或者重复管理的现象。</w:t>
      </w:r>
    </w:p>
    <w:p w14:paraId="0B53D9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（三）激励约束失衡，履职回报差异化不足</w:t>
      </w:r>
    </w:p>
    <w:p w14:paraId="5EE8F90F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目前</w:t>
      </w: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  <w:lang w:eastAsia="zh-CN"/>
        </w:rPr>
        <w:t>大</w:t>
      </w: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多数项目仍然采用固定总价付费方式，咨询费用同服务质量、项目成效没有直接联系，高质量的增值服务不能得到相应的收益回报。咨询单位在开展优化工作时，不但不能获得额外收益，反而由于工作范围的扩大而增加了出错的风险，从而使得大多数单位都倾向于采取最低限度的履职标准。考核评价大多以定性描述为主，缺少明确的奖惩对应机制，履职表现的差别不能体现出来，不能产生有效的正向引导。</w:t>
      </w:r>
    </w:p>
    <w:p w14:paraId="425EC4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（四）信息传递失真，风险预警严重滞后</w:t>
      </w:r>
    </w:p>
    <w:p w14:paraId="1B9150C0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建设单位内部部门、监理、咨询单位和施工方之间没有统一的信息共享渠道，设计变更、现场签证、市场价格变动等信息传递存在时间差，部分重要信息还存在传递偏差</w:t>
      </w: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  <w:vertAlign w:val="superscript"/>
          <w:lang w:val="en-US" w:eastAsia="zh-CN"/>
        </w:rPr>
        <w:t>[2]</w:t>
      </w: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。监理及咨询单位不能及时得到全部的项目数据，不能对潜在的质量、安全、投资风险做出提前的预判，而是在风险事件发生之后才介入处理，不但加大了风险处置的成本，而且对项目的工期和投资控制造成不利的影响。</w:t>
      </w:r>
    </w:p>
    <w:p w14:paraId="2EF53E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（五）信用传导缺位，违规成本总体偏低</w:t>
      </w:r>
    </w:p>
    <w:p w14:paraId="696DAB39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建筑市场信用约束机制对参建主体的履职行为有着长期的引导作用，但是目前项目层面的履职表现同市场信用体系的联动较少。监理和咨询单位的履职不到位情况大多只在单个项目内部进行处理，不良履职记录很难传到整个建筑市场，对于单位后续的市场拓展影响不大。市场信用评价对于项目实际履职情况的权重较低，违规失信的成本远远小于违规带来的收益，不能形成足够的约束力。</w:t>
      </w:r>
    </w:p>
    <w:p w14:paraId="706C60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</w:p>
    <w:p w14:paraId="66BCA89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（一）前置谋划，厘清进场权责界面</w:t>
      </w:r>
    </w:p>
    <w:p w14:paraId="7B5AEFED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color w:val="0000FF"/>
          <w:sz w:val="21"/>
          <w:szCs w:val="21"/>
        </w:rPr>
        <w:t>项目前期阶段权责界定是后续全周期履职顺畅开展的基础前提，明确的权责界限可以防止后期执行过程中出现的各种矛盾。一是项目策划阶段组织合同权责专项研讨，由建设单位工程管理部门牵头，联合法务、成本管理部门和监理、全过程咨询单位的核心团队，共同梳理项目决策、设计、施工、运维各个阶段的工作事项清单，逐一明确每项工作的责任主体、协作流程和权限范围，决策阶段全咨单位负责多方案比选和投资估算编制，建设单位承担最终决策责任，施工阶段监理单位负责现场质量安全的日常管控，全咨单位负责整体进度和投资的统筹协调，最终形成正式的权责划分手册作为合同附件，具有同等的合同效力。二是制定标准化的授权委托书，确定监理和全咨单位在项目中具体权限，即工程款支付审核签字权、设计变更技术建议权、现场签证核实确认权、分包单位资质核查权等，并在授权文件中明确建设单位决策事项范围，划定不能干预的专业判断领域，保证咨询单位独立开展专业工作的空间。三是建立权责动态调整机制，每季度末三方一起对权责执行情况进行梳理，对项目推进过程中出现的权责交叉地带或者管理空白区域，通过协商会议的形式及时调整权责划分，形成书面的权责调整记录，纳入合同补充文件中，保证权责划分始终符合项目实际进展的需求。</w:t>
      </w:r>
    </w:p>
    <w:p w14:paraId="235D55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79F701F"/>
    <w:rsid w:val="374D4827"/>
    <w:rsid w:val="46660D45"/>
    <w:rsid w:val="599A4DD2"/>
    <w:rsid w:val="5EAC74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5070</Words>
  <Characters>5194</Characters>
  <Application>Microsoft Office Word</Application>
  <DocSecurity>0</DocSecurity>
  <Lines>0</Lines>
  <Paragraphs>0</Paragraphs>
  <ScaleCrop>false</ScaleCrop>
  <Company/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Resurgam</cp:lastModifiedBy>
  <cp:revision>0</cp:revision>
  <dcterms:created xsi:type="dcterms:W3CDTF">2026-10-16T06:44:00Z</dcterms:created>
  <dcterms:modified xsi:type="dcterms:W3CDTF">2026-10-16T07:06:37Z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3E8C7D9EBCD44FAFBC44A0A06843CC4B_13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