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CF966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rPr>
      </w:pPr>
      <w:r>
        <w:rPr>
          <w:rFonts w:ascii="宋体" w:eastAsia="宋体" w:hAnsi="宋体" w:cs="宋体" w:hint="eastAsia"/>
        </w:rPr>
        <w:t>水工结构大体积混凝土裂缝成因及防治措施</w:t>
      </w:r>
    </w:p>
    <w:p w14:paraId="488893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bookmarkStart w:id="0" w:name="_GoBack"/>
      <w:bookmarkEnd w:id="0"/>
    </w:p>
    <w:p w14:paraId="64CAAE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lang w:eastAsia="zh-CN"/>
        </w:rPr>
        <w:t>：</w:t>
      </w:r>
      <w:r>
        <w:rPr>
          <w:rFonts w:ascii="宋体" w:eastAsia="宋体" w:hAnsi="宋体" w:cs="宋体" w:hint="eastAsia"/>
        </w:rPr>
        <w:t>大体积混凝土在水工结构中应用较多，受施工工艺、材料特性、环境条件等诸多因素的影响，裂缝病害时有发生，既影响结构的整体性和耐久性，又对工程的安全运行造成威胁。本文根据水工工程实践，从形成阶段、稳定性、危害程度三个方面对裂缝类型进行梳理，从施工管控、材料特性、结构设计三个方面对裂缝产生的内在机理进行解析，并有针对性地提出工序控制、材料优化、温度控制、养护加强等系统防治措施。研究成果可以给同类水工工程的裂缝防治提供借鉴。</w:t>
      </w:r>
    </w:p>
    <w:p w14:paraId="3FFFD0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关键词</w:t>
      </w:r>
      <w:r>
        <w:rPr>
          <w:rFonts w:ascii="宋体" w:eastAsia="宋体" w:hAnsi="宋体" w:cs="宋体" w:hint="eastAsia"/>
        </w:rPr>
        <w:t>：大体积混凝土；水工结构；裂缝成因；施工防控；温度应力</w:t>
      </w:r>
    </w:p>
    <w:p w14:paraId="26F7BC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7FE748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rPr>
        <w:t>水利工</w:t>
      </w:r>
      <w:r>
        <w:rPr>
          <w:rFonts w:ascii="宋体" w:eastAsia="宋体" w:hAnsi="宋体" w:cs="宋体" w:hint="eastAsia"/>
          <w:lang w:val="en-US" w:eastAsia="zh-CN"/>
        </w:rPr>
        <w:t>程</w:t>
      </w:r>
      <w:r>
        <w:rPr>
          <w:rFonts w:ascii="宋体" w:eastAsia="宋体" w:hAnsi="宋体" w:cs="宋体" w:hint="eastAsia"/>
        </w:rPr>
        <w:t>是保障民生、支撑经济社会发展的重要基础设施，随着中国水利建设事业的发展，闸坝、泵站、输水隧洞等各类水工结构的规模和复杂度不断提高。大体积混凝土因为整体性好、承载能力强，成为水工主体结构的主要材料，但是由于结构体量大、施工周期长、边界条件复杂，混凝土开裂几乎成了工程建设中无法完全避免的病害。目前大部分工程对裂缝的处理大多采用事后修补的方式，防控的前置性不足，治理成本高、效果差。</w:t>
      </w:r>
    </w:p>
    <w:p w14:paraId="0358AB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1水工结构大体积混凝土的裂缝类型与特征</w:t>
      </w:r>
    </w:p>
    <w:p w14:paraId="0C2A84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1.1按形成时间阶段划分</w:t>
      </w:r>
    </w:p>
    <w:p w14:paraId="0DF7AE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宋体" w:hint="default"/>
          <w:lang w:val="en-US" w:eastAsia="zh-CN"/>
        </w:rPr>
      </w:pPr>
      <w:r>
        <w:rPr>
          <w:rFonts w:ascii="宋体" w:eastAsia="宋体" w:hAnsi="宋体" w:cs="宋体" w:hint="eastAsia"/>
        </w:rPr>
        <w:t>早期裂缝主要发生在混凝土浇筑收尾后的一段时间内，水化反应高峰期和表层水分快速散失期重合，是造成这类裂缝的主要原因。此时混凝土弹性模量仍处在较低水平，约束作用小，裂缝多呈浅层、细密分布，一般不会深入到结构内部</w:t>
      </w:r>
      <w:r>
        <w:rPr>
          <w:rFonts w:ascii="宋体" w:eastAsia="宋体" w:hAnsi="宋体" w:cs="宋体" w:hint="eastAsia"/>
          <w:vertAlign w:val="superscript"/>
          <w:lang w:val="en-US" w:eastAsia="zh-CN"/>
        </w:rPr>
        <w:t>[1]</w:t>
      </w:r>
      <w:r>
        <w:rPr>
          <w:rFonts w:ascii="宋体" w:eastAsia="宋体" w:hAnsi="宋体" w:cs="宋体" w:hint="eastAsia"/>
        </w:rPr>
        <w:t>。中期裂缝产生区间是浇筑完成一个月后到工程投入使用之前，水化热已经基本释放，混凝土强度不断上升，施工荷载扰动、基础不均匀沉降或者养护中断是主要诱因，裂缝的深度和宽度会随着时间慢慢发展。晚期裂缝产生于工程长期运行期，由于环境侵蚀、交变荷载和材料性能劣化共同作用，裂缝多沿结构受力薄弱处缓慢发展，虽然发展速度慢，但是作用</w:t>
      </w:r>
      <w:r>
        <w:rPr>
          <w:rFonts w:ascii="宋体" w:eastAsia="宋体" w:hAnsi="宋体" w:cs="宋体" w:hint="eastAsia"/>
          <w:sz w:val="21"/>
          <w:szCs w:val="21"/>
        </w:rPr>
        <w:t>时间长。不同形成阶段的混凝土裂缝</w:t>
      </w:r>
      <w:r>
        <w:rPr>
          <w:rFonts w:ascii="宋体" w:eastAsia="宋体" w:hAnsi="宋体" w:cs="宋体" w:hint="eastAsia"/>
          <w:sz w:val="21"/>
          <w:szCs w:val="21"/>
          <w:lang w:val="en-US" w:eastAsia="zh-CN"/>
        </w:rPr>
        <w:t>特征见表1。</w:t>
      </w:r>
    </w:p>
    <w:p w14:paraId="271FA73E">
      <w:pPr>
        <w:jc w:val="center"/>
        <w:rPr>
          <w:rFonts w:ascii="宋体" w:eastAsia="宋体" w:hAnsi="宋体" w:cs="宋体" w:hint="eastAsia"/>
          <w:sz w:val="21"/>
          <w:szCs w:val="21"/>
        </w:rPr>
      </w:pPr>
      <w:r>
        <w:rPr>
          <w:rFonts w:ascii="宋体" w:eastAsia="宋体" w:hAnsi="宋体" w:cs="宋体" w:hint="eastAsia"/>
          <w:sz w:val="21"/>
          <w:szCs w:val="21"/>
        </w:rPr>
        <w:t>表1 不同形成阶段的混凝土裂缝特征对比</w:t>
      </w:r>
    </w:p>
    <w:tbl>
      <w:tblPr>
        <w:tblW w:w="852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CellMar>
          <w:left w:w="108" w:type="dxa"/>
          <w:right w:w="108" w:type="dxa"/>
        </w:tblCellMar>
      </w:tblPr>
      <w:tblGrid>
        <w:gridCol w:w="1276"/>
        <w:gridCol w:w="1988"/>
        <w:gridCol w:w="2455"/>
        <w:gridCol w:w="2803"/>
      </w:tblGrid>
      <w:tr w14:paraId="64FC83DB">
        <w:tblPrEx>
          <w:tblW w:w="852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CellMar>
            <w:left w:w="108" w:type="dxa"/>
            <w:right w:w="108" w:type="dxa"/>
          </w:tblCellMar>
        </w:tblPrEx>
        <w:trPr>
          <w:trHeight w:hRule="auto" w:val="0"/>
          <w:tblHeader/>
          <w:jc w:val="center"/>
        </w:trPr>
        <w:tc>
          <w:tcPr>
            <w:tcW w:w="1276" w:type="dxa"/>
            <w:tcBorders>
              <w:top w:val="single" w:sz="12" w:space="0" w:color="000000"/>
              <w:left w:val="nil"/>
              <w:bottom w:val="nil"/>
              <w:right w:val="nil"/>
            </w:tcBorders>
            <w:noWrap w:val="0"/>
            <w:tcMar>
              <w:top w:w="-1" w:type="dxa"/>
              <w:left w:w="-1" w:type="dxa"/>
              <w:bottom w:w="-1" w:type="dxa"/>
              <w:right w:w="-1" w:type="dxa"/>
            </w:tcMar>
            <w:vAlign w:val="center"/>
          </w:tcPr>
          <w:p w14:paraId="23F6C7D9">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裂缝类型</w:t>
            </w:r>
          </w:p>
        </w:tc>
        <w:tc>
          <w:tcPr>
            <w:tcW w:w="0" w:type="auto"/>
            <w:tcBorders>
              <w:top w:val="single" w:sz="12" w:space="0" w:color="000000"/>
              <w:left w:val="nil"/>
              <w:bottom w:val="nil"/>
              <w:right w:val="nil"/>
            </w:tcBorders>
            <w:noWrap w:val="0"/>
            <w:tcMar>
              <w:top w:w="-1" w:type="dxa"/>
              <w:left w:w="-1" w:type="dxa"/>
              <w:bottom w:w="-1" w:type="dxa"/>
              <w:right w:w="-1" w:type="dxa"/>
            </w:tcMar>
            <w:vAlign w:val="center"/>
          </w:tcPr>
          <w:p w14:paraId="61B3B130">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形成时段</w:t>
            </w:r>
          </w:p>
        </w:tc>
        <w:tc>
          <w:tcPr>
            <w:tcW w:w="2455" w:type="dxa"/>
            <w:tcBorders>
              <w:top w:val="single" w:sz="12" w:space="0" w:color="000000"/>
              <w:left w:val="nil"/>
              <w:bottom w:val="nil"/>
              <w:right w:val="nil"/>
            </w:tcBorders>
            <w:noWrap w:val="0"/>
            <w:tcMar>
              <w:top w:w="-1" w:type="dxa"/>
              <w:left w:w="-1" w:type="dxa"/>
              <w:bottom w:w="-1" w:type="dxa"/>
              <w:right w:w="-1" w:type="dxa"/>
            </w:tcMar>
            <w:vAlign w:val="center"/>
          </w:tcPr>
          <w:p w14:paraId="3E5C398C">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核心诱因</w:t>
            </w:r>
          </w:p>
        </w:tc>
        <w:tc>
          <w:tcPr>
            <w:tcW w:w="2803" w:type="dxa"/>
            <w:tcBorders>
              <w:top w:val="single" w:sz="12" w:space="0" w:color="000000"/>
              <w:left w:val="nil"/>
              <w:bottom w:val="nil"/>
              <w:right w:val="nil"/>
            </w:tcBorders>
            <w:noWrap w:val="0"/>
            <w:tcMar>
              <w:top w:w="-1" w:type="dxa"/>
              <w:left w:w="-1" w:type="dxa"/>
              <w:bottom w:w="-1" w:type="dxa"/>
              <w:right w:w="-1" w:type="dxa"/>
            </w:tcMar>
            <w:vAlign w:val="center"/>
          </w:tcPr>
          <w:p w14:paraId="7570C85A">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典型形态特征</w:t>
            </w:r>
          </w:p>
        </w:tc>
      </w:tr>
      <w:tr w14:paraId="1A91EBEF">
        <w:tblPrEx>
          <w:tblW w:w="8522" w:type="dxa"/>
          <w:jc w:val="center"/>
          <w:tblCellMar>
            <w:left w:w="108" w:type="dxa"/>
            <w:right w:w="108" w:type="dxa"/>
          </w:tblCellMar>
        </w:tblPrEx>
        <w:trPr>
          <w:trHeight w:hRule="auto" w:val="0"/>
          <w:jc w:val="center"/>
        </w:trPr>
        <w:tc>
          <w:tcPr>
            <w:tcW w:w="1276" w:type="dxa"/>
            <w:tcBorders>
              <w:top w:val="single" w:sz="4" w:space="0" w:color="000000"/>
              <w:left w:val="nil"/>
              <w:bottom w:val="nil"/>
              <w:right w:val="nil"/>
            </w:tcBorders>
            <w:noWrap w:val="0"/>
            <w:tcMar>
              <w:top w:w="-1" w:type="dxa"/>
              <w:left w:w="-1" w:type="dxa"/>
              <w:bottom w:w="-1" w:type="dxa"/>
              <w:right w:w="-1" w:type="dxa"/>
            </w:tcMar>
            <w:vAlign w:val="center"/>
          </w:tcPr>
          <w:p w14:paraId="18F4D7F9">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早期裂缝</w:t>
            </w:r>
          </w:p>
        </w:tc>
        <w:tc>
          <w:tcPr>
            <w:tcW w:w="0" w:type="auto"/>
            <w:tcBorders>
              <w:top w:val="single" w:sz="4" w:space="0" w:color="000000"/>
              <w:left w:val="nil"/>
              <w:bottom w:val="nil"/>
              <w:right w:val="nil"/>
            </w:tcBorders>
            <w:noWrap w:val="0"/>
            <w:tcMar>
              <w:top w:w="-1" w:type="dxa"/>
              <w:left w:w="-1" w:type="dxa"/>
              <w:bottom w:w="-1" w:type="dxa"/>
              <w:right w:w="-1" w:type="dxa"/>
            </w:tcMar>
            <w:vAlign w:val="center"/>
          </w:tcPr>
          <w:p w14:paraId="03456DD7">
            <w:pPr>
              <w:snapToGrid w:val="0"/>
              <w:ind w:left="0" w:right="0" w:firstLine="0" w:leftChars="0" w:rightChars="0" w:firstLineChars="0"/>
              <w:jc w:val="left"/>
              <w:rPr>
                <w:rFonts w:ascii="宋体" w:eastAsia="宋体" w:hAnsi="宋体" w:cs="宋体" w:hint="eastAsia"/>
                <w:sz w:val="21"/>
                <w:szCs w:val="21"/>
              </w:rPr>
            </w:pPr>
            <w:r>
              <w:rPr>
                <w:rFonts w:ascii="宋体" w:eastAsia="宋体" w:hAnsi="宋体" w:cs="宋体" w:hint="eastAsia"/>
                <w:sz w:val="21"/>
                <w:szCs w:val="21"/>
              </w:rPr>
              <w:t>浇筑完成后1个月内</w:t>
            </w:r>
          </w:p>
        </w:tc>
        <w:tc>
          <w:tcPr>
            <w:tcW w:w="2455" w:type="dxa"/>
            <w:tcBorders>
              <w:top w:val="single" w:sz="4" w:space="0" w:color="000000"/>
              <w:left w:val="nil"/>
              <w:bottom w:val="nil"/>
              <w:right w:val="nil"/>
            </w:tcBorders>
            <w:noWrap w:val="0"/>
            <w:tcMar>
              <w:top w:w="-1" w:type="dxa"/>
              <w:left w:w="-1" w:type="dxa"/>
              <w:bottom w:w="-1" w:type="dxa"/>
              <w:right w:w="-1" w:type="dxa"/>
            </w:tcMar>
            <w:vAlign w:val="center"/>
          </w:tcPr>
          <w:p w14:paraId="7181B7D9">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水化热集中释放、表层水分快速散失</w:t>
            </w:r>
          </w:p>
        </w:tc>
        <w:tc>
          <w:tcPr>
            <w:tcW w:w="2803" w:type="dxa"/>
            <w:tcBorders>
              <w:top w:val="single" w:sz="4" w:space="0" w:color="000000"/>
              <w:left w:val="nil"/>
              <w:bottom w:val="nil"/>
              <w:right w:val="nil"/>
            </w:tcBorders>
            <w:noWrap w:val="0"/>
            <w:tcMar>
              <w:top w:w="-1" w:type="dxa"/>
              <w:left w:w="-1" w:type="dxa"/>
              <w:bottom w:w="-1" w:type="dxa"/>
              <w:right w:w="-1" w:type="dxa"/>
            </w:tcMar>
            <w:vAlign w:val="center"/>
          </w:tcPr>
          <w:p w14:paraId="5DA47C18">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浅层细密，深度有限，无明显扩展趋势</w:t>
            </w:r>
          </w:p>
        </w:tc>
      </w:tr>
      <w:tr w14:paraId="6086BB3C">
        <w:tblPrEx>
          <w:tblW w:w="8522" w:type="dxa"/>
          <w:jc w:val="center"/>
          <w:tblCellMar>
            <w:left w:w="108" w:type="dxa"/>
            <w:right w:w="108" w:type="dxa"/>
          </w:tblCellMar>
        </w:tblPrEx>
        <w:trPr>
          <w:trHeight w:hRule="auto" w:val="0"/>
          <w:jc w:val="center"/>
        </w:trPr>
        <w:tc>
          <w:tcPr>
            <w:tcW w:w="1276" w:type="dxa"/>
            <w:tcBorders>
              <w:top w:val="nil"/>
              <w:left w:val="nil"/>
              <w:bottom w:val="nil"/>
              <w:right w:val="nil"/>
            </w:tcBorders>
            <w:noWrap w:val="0"/>
            <w:tcMar>
              <w:top w:w="-1" w:type="dxa"/>
              <w:left w:w="-1" w:type="dxa"/>
              <w:bottom w:w="-1" w:type="dxa"/>
              <w:right w:w="-1" w:type="dxa"/>
            </w:tcMar>
            <w:vAlign w:val="center"/>
          </w:tcPr>
          <w:p w14:paraId="25D70B28">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中期裂缝</w:t>
            </w:r>
          </w:p>
        </w:tc>
        <w:tc>
          <w:tcPr>
            <w:tcW w:w="0" w:type="auto"/>
            <w:tcBorders>
              <w:top w:val="nil"/>
              <w:left w:val="nil"/>
              <w:bottom w:val="nil"/>
              <w:right w:val="nil"/>
            </w:tcBorders>
            <w:noWrap w:val="0"/>
            <w:tcMar>
              <w:top w:w="-1" w:type="dxa"/>
              <w:left w:w="-1" w:type="dxa"/>
              <w:bottom w:w="-1" w:type="dxa"/>
              <w:right w:w="-1" w:type="dxa"/>
            </w:tcMar>
            <w:vAlign w:val="center"/>
          </w:tcPr>
          <w:p w14:paraId="3A950279">
            <w:pPr>
              <w:snapToGrid w:val="0"/>
              <w:ind w:left="0" w:right="0" w:firstLine="0" w:leftChars="0" w:rightChars="0" w:firstLineChars="0"/>
              <w:jc w:val="left"/>
              <w:rPr>
                <w:rFonts w:ascii="宋体" w:eastAsia="宋体" w:hAnsi="宋体" w:cs="宋体" w:hint="eastAsia"/>
                <w:sz w:val="21"/>
                <w:szCs w:val="21"/>
              </w:rPr>
            </w:pPr>
            <w:r>
              <w:rPr>
                <w:rFonts w:ascii="宋体" w:eastAsia="宋体" w:hAnsi="宋体" w:cs="宋体" w:hint="eastAsia"/>
                <w:sz w:val="21"/>
                <w:szCs w:val="21"/>
              </w:rPr>
              <w:t>浇筑1个月后至工程投用前</w:t>
            </w:r>
          </w:p>
        </w:tc>
        <w:tc>
          <w:tcPr>
            <w:tcW w:w="2455" w:type="dxa"/>
            <w:tcBorders>
              <w:top w:val="nil"/>
              <w:left w:val="nil"/>
              <w:bottom w:val="nil"/>
              <w:right w:val="nil"/>
            </w:tcBorders>
            <w:noWrap w:val="0"/>
            <w:tcMar>
              <w:top w:w="-1" w:type="dxa"/>
              <w:left w:w="-1" w:type="dxa"/>
              <w:bottom w:w="-1" w:type="dxa"/>
              <w:right w:w="-1" w:type="dxa"/>
            </w:tcMar>
            <w:vAlign w:val="center"/>
          </w:tcPr>
          <w:p w14:paraId="0A36DB23">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施工荷载扰动、基础沉降、养护中断</w:t>
            </w:r>
          </w:p>
        </w:tc>
        <w:tc>
          <w:tcPr>
            <w:tcW w:w="2803" w:type="dxa"/>
            <w:tcBorders>
              <w:top w:val="nil"/>
              <w:left w:val="nil"/>
              <w:bottom w:val="nil"/>
              <w:right w:val="nil"/>
            </w:tcBorders>
            <w:noWrap w:val="0"/>
            <w:tcMar>
              <w:top w:w="-1" w:type="dxa"/>
              <w:left w:w="-1" w:type="dxa"/>
              <w:bottom w:w="-1" w:type="dxa"/>
              <w:right w:w="-1" w:type="dxa"/>
            </w:tcMar>
            <w:vAlign w:val="center"/>
          </w:tcPr>
          <w:p w14:paraId="20E7E39F">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深度与宽度逐步发展，走向受应力分布控制</w:t>
            </w:r>
          </w:p>
        </w:tc>
      </w:tr>
      <w:tr w14:paraId="53E079F8">
        <w:tblPrEx>
          <w:tblW w:w="8522" w:type="dxa"/>
          <w:jc w:val="center"/>
          <w:tblCellMar>
            <w:left w:w="108" w:type="dxa"/>
            <w:right w:w="108" w:type="dxa"/>
          </w:tblCellMar>
        </w:tblPrEx>
        <w:trPr>
          <w:trHeight w:hRule="auto" w:val="0"/>
          <w:jc w:val="center"/>
        </w:trPr>
        <w:tc>
          <w:tcPr>
            <w:tcW w:w="1276" w:type="dxa"/>
            <w:tcBorders>
              <w:top w:val="nil"/>
              <w:left w:val="nil"/>
              <w:bottom w:val="single" w:sz="12" w:space="0" w:color="000000"/>
              <w:right w:val="nil"/>
            </w:tcBorders>
            <w:noWrap w:val="0"/>
            <w:tcMar>
              <w:top w:w="-1" w:type="dxa"/>
              <w:left w:w="-1" w:type="dxa"/>
              <w:bottom w:w="-1" w:type="dxa"/>
              <w:right w:w="-1" w:type="dxa"/>
            </w:tcMar>
            <w:vAlign w:val="center"/>
          </w:tcPr>
          <w:p w14:paraId="2FC16EFD">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晚期裂缝</w:t>
            </w:r>
          </w:p>
        </w:tc>
        <w:tc>
          <w:tcPr>
            <w:tcW w:w="1988" w:type="dxa"/>
            <w:tcBorders>
              <w:top w:val="nil"/>
              <w:left w:val="nil"/>
              <w:bottom w:val="single" w:sz="12" w:space="0" w:color="000000"/>
              <w:right w:val="nil"/>
            </w:tcBorders>
            <w:noWrap w:val="0"/>
            <w:tcMar>
              <w:top w:w="-1" w:type="dxa"/>
              <w:left w:w="-1" w:type="dxa"/>
              <w:bottom w:w="-1" w:type="dxa"/>
              <w:right w:w="-1" w:type="dxa"/>
            </w:tcMar>
            <w:vAlign w:val="center"/>
          </w:tcPr>
          <w:p w14:paraId="20493BC7">
            <w:pPr>
              <w:snapToGrid w:val="0"/>
              <w:ind w:left="0" w:right="0" w:firstLine="0" w:leftChars="0" w:rightChars="0" w:firstLineChars="0"/>
              <w:jc w:val="left"/>
              <w:rPr>
                <w:rFonts w:ascii="宋体" w:eastAsia="宋体" w:hAnsi="宋体" w:cs="宋体" w:hint="eastAsia"/>
                <w:sz w:val="21"/>
                <w:szCs w:val="21"/>
              </w:rPr>
            </w:pPr>
            <w:r>
              <w:rPr>
                <w:rFonts w:ascii="宋体" w:eastAsia="宋体" w:hAnsi="宋体" w:cs="宋体" w:hint="eastAsia"/>
                <w:sz w:val="21"/>
                <w:szCs w:val="21"/>
              </w:rPr>
              <w:t>工程长期运行阶段</w:t>
            </w:r>
          </w:p>
        </w:tc>
        <w:tc>
          <w:tcPr>
            <w:tcW w:w="2455" w:type="dxa"/>
            <w:tcBorders>
              <w:top w:val="nil"/>
              <w:left w:val="nil"/>
              <w:bottom w:val="single" w:sz="12" w:space="0" w:color="000000"/>
              <w:right w:val="nil"/>
            </w:tcBorders>
            <w:noWrap w:val="0"/>
            <w:tcMar>
              <w:top w:w="-1" w:type="dxa"/>
              <w:left w:w="-1" w:type="dxa"/>
              <w:bottom w:w="-1" w:type="dxa"/>
              <w:right w:w="-1" w:type="dxa"/>
            </w:tcMar>
            <w:vAlign w:val="center"/>
          </w:tcPr>
          <w:p w14:paraId="30134A0A">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环境侵蚀、交变荷载、材料性能劣化</w:t>
            </w:r>
          </w:p>
        </w:tc>
        <w:tc>
          <w:tcPr>
            <w:tcW w:w="2803" w:type="dxa"/>
            <w:tcBorders>
              <w:top w:val="nil"/>
              <w:left w:val="nil"/>
              <w:bottom w:val="single" w:sz="12" w:space="0" w:color="000000"/>
              <w:right w:val="nil"/>
            </w:tcBorders>
            <w:noWrap w:val="0"/>
            <w:tcMar>
              <w:top w:w="-1" w:type="dxa"/>
              <w:left w:w="-1" w:type="dxa"/>
              <w:bottom w:w="-1" w:type="dxa"/>
              <w:right w:w="-1" w:type="dxa"/>
            </w:tcMar>
            <w:vAlign w:val="center"/>
          </w:tcPr>
          <w:p w14:paraId="44E889DB">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沿受力薄弱面扩展，发展缓慢但持续周期长</w:t>
            </w:r>
          </w:p>
        </w:tc>
      </w:tr>
    </w:tbl>
    <w:p w14:paraId="6477FB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1.2按力学稳定性划分</w:t>
      </w:r>
    </w:p>
    <w:p w14:paraId="716383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稳定裂缝宽度和形态会随着环境温湿度的变化而有规律地波动，高温高湿季节小幅闭合，低温干燥季节相应张开，整体深度和走向不会发生本质变化，对结构承载力的影响处于可控范围内。不稳定裂缝没有明显的季节变化规律，宽度、深度会随着外部荷载或者内部应力的积累不断变大，走向具有很强的不确定性，干预不及时很容易贯穿整个结构断面。闭合性裂缝一旦产生就不会受到外界条件变化的影响，形态保持不变，大多是由混凝土硬化过程中的一次性收缩引起的，一般没有扩展的可能</w:t>
      </w:r>
      <w:r>
        <w:rPr>
          <w:rFonts w:ascii="宋体" w:eastAsia="宋体" w:hAnsi="宋体" w:cs="宋体" w:hint="eastAsia"/>
          <w:vertAlign w:val="superscript"/>
          <w:lang w:val="en-US" w:eastAsia="zh-CN"/>
        </w:rPr>
        <w:t>[2]</w:t>
      </w:r>
      <w:r>
        <w:rPr>
          <w:rFonts w:ascii="宋体" w:eastAsia="宋体" w:hAnsi="宋体" w:cs="宋体" w:hint="eastAsia"/>
        </w:rPr>
        <w:t>。</w:t>
      </w:r>
    </w:p>
    <w:p w14:paraId="34E331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1.3按危害程度划分</w:t>
      </w:r>
    </w:p>
    <w:p w14:paraId="3A63C5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轻度裂缝多为表面网状干缩裂缝，宽度一般小于0.2mm，深度不大于钢筋保护层厚度，主要影响结构外观及表层抗渗性能，不会对结构整体承载力造成威胁，也是工程实践中最常见的一种裂缝类型。重度裂缝宽度大多在0.2~0.5mm之间，深入到钢筋保护层内，会加快钢筋锈蚀的速度，大大降低结构的耐久性，如果处于水位变动区还会加剧渗透破坏。危害性裂缝宽度大于0.5mm，有贯穿性，直接削弱结构截面承载力，造成结构失稳或者渗漏事故，不能很好地解决该问题，裂缝继续发展下去，还会危及周围民众生命和财产安全</w:t>
      </w:r>
      <w:r>
        <w:rPr>
          <w:rFonts w:ascii="宋体" w:eastAsia="宋体" w:hAnsi="宋体" w:cs="宋体" w:hint="eastAsia"/>
          <w:vertAlign w:val="superscript"/>
        </w:rPr>
        <w:t>[</w:t>
      </w:r>
      <w:r>
        <w:rPr>
          <w:rFonts w:ascii="宋体" w:eastAsia="宋体" w:hAnsi="宋体" w:cs="宋体" w:hint="eastAsia"/>
          <w:vertAlign w:val="superscript"/>
          <w:lang w:val="en-US" w:eastAsia="zh-CN"/>
        </w:rPr>
        <w:t>3</w:t>
      </w:r>
      <w:r>
        <w:rPr>
          <w:rFonts w:ascii="宋体" w:eastAsia="宋体" w:hAnsi="宋体" w:cs="宋体" w:hint="eastAsia"/>
          <w:vertAlign w:val="superscript"/>
        </w:rPr>
        <w:t>]</w:t>
      </w:r>
      <w:r>
        <w:rPr>
          <w:rFonts w:ascii="宋体" w:eastAsia="宋体" w:hAnsi="宋体" w:cs="宋体" w:hint="eastAsia"/>
        </w:rPr>
        <w:t>。</w:t>
      </w:r>
    </w:p>
    <w:p w14:paraId="67E2F9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2水工结构大体积混凝土裂缝的成因解析</w:t>
      </w:r>
    </w:p>
    <w:p w14:paraId="2FF237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2.1施工过程管控缺陷</w:t>
      </w:r>
    </w:p>
    <w:p w14:paraId="662D23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施工工序不合理安排，会造成裂缝发生率的提高。大体积水工结构一般采用分层浇筑法，如果前后浇筑间隔时间过长，先浇筑的混凝土表层水分大量流失，坍落度损失严重，新旧混凝土结合面容易出现不规则开裂；如果间隔时间过短，下层混凝土还没有初凝，上层荷载就会引起内部变形，导致结合面出现贯穿性缝</w:t>
      </w:r>
      <w:r>
        <w:rPr>
          <w:rFonts w:ascii="宋体" w:eastAsia="宋体" w:hAnsi="宋体" w:cs="宋体" w:hint="eastAsia"/>
          <w:lang w:eastAsia="zh-CN"/>
        </w:rPr>
        <w:t>隙</w:t>
      </w:r>
      <w:r>
        <w:rPr>
          <w:rFonts w:ascii="宋体" w:eastAsia="宋体" w:hAnsi="宋体" w:cs="宋体" w:hint="eastAsia"/>
          <w:lang w:val="en-US" w:eastAsia="zh-CN"/>
        </w:rPr>
        <w:t>，如图1所</w:t>
      </w:r>
      <w:r>
        <w:rPr>
          <w:rFonts w:ascii="宋体" w:eastAsia="宋体" w:hAnsi="宋体" w:cs="宋体" w:hint="eastAsia"/>
        </w:rPr>
        <w:t>示。部分施工现场为了改善混凝土的工作性而随意加水，破坏了原有的配合比稳定性，加大了后期收缩开裂的风险。另外拆模时间过早会造成混凝土结构强度不够，不能承受自身重量和外部约束应力，从而产生表面裂缝。浇筑振捣工艺不合格会造成混凝土内部均质性遭到破坏。浇筑时下料高度过大，容易造成混凝土离析分层，砂浆下沉到低处，骨料集中在局部，使结构界面处强度分布不均，从而产生开裂。振捣作业漏振、过振或者插点布置不均匀，会使混凝土内部出现蜂窝、麻面等缺陷，表面浮浆过多，硬化后收缩差异大，容易造成表面网状裂缝。养护不到位属于施工阶段引发裂缝的主要原因。混凝土浇筑完毕后若不及时覆盖保湿，表面水分很快蒸发，内部和表层收缩变形不一致，产生较大的拉应力，当拉应力超过同期混凝土抗拉强度时就会出现表面干缩裂缝。尤其是水工结构露天作业，受风吹、日晒等环境因素的影响较大，养护时间不够或者补水不及时，裂缝发生的概率就会大大提高。</w:t>
      </w:r>
    </w:p>
    <w:p w14:paraId="6D243F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rPr>
      </w:pPr>
      <w:r>
        <w:rPr>
          <w:rFonts w:ascii="宋体" w:eastAsia="宋体" w:hAnsi="宋体" w:cs="宋体" w:hint="eastAsia"/>
        </w:rPr>
        <w:drawing>
          <wp:inline distT="0" distB="0" distL="114300" distR="114300">
            <wp:extent cx="4152900" cy="2324100"/>
            <wp:effectExtent l="0" t="0" r="762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4152900" cy="2324100"/>
                    </a:xfrm>
                    <a:prstGeom prst="rect">
                      <a:avLst/>
                    </a:prstGeom>
                    <a:noFill/>
                    <a:ln>
                      <a:noFill/>
                    </a:ln>
                  </pic:spPr>
                </pic:pic>
              </a:graphicData>
            </a:graphic>
          </wp:inline>
        </w:drawing>
      </w:r>
    </w:p>
    <w:p w14:paraId="279F99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lang w:val="en-US" w:eastAsia="zh-CN"/>
        </w:rPr>
      </w:pPr>
      <w:r>
        <w:rPr>
          <w:rFonts w:ascii="宋体" w:eastAsia="宋体" w:hAnsi="宋体" w:cs="宋体" w:hint="eastAsia"/>
          <w:lang w:val="en-US" w:eastAsia="zh-CN"/>
        </w:rPr>
        <w:t>图1</w:t>
      </w:r>
      <w:r>
        <w:rPr>
          <w:rFonts w:ascii="宋体" w:eastAsia="宋体" w:hAnsi="宋体" w:cs="宋体" w:hint="eastAsia"/>
        </w:rPr>
        <w:t>大体积混凝土贯穿性裂缝</w:t>
      </w:r>
    </w:p>
    <w:p w14:paraId="05084D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2.2混凝土材料与水化特性</w:t>
      </w:r>
    </w:p>
    <w:p w14:paraId="7DF5C4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水泥水化热是造成大体积混凝土产生温度裂缝的主要原因。大体积水工结构断面厚，混凝土导热性差，水化反应产生的热量不能及时散失出去，内部温度不断上升，与外界环境存在较大的温差。水泥水化热产生的温度最少可达25摄氏度</w:t>
      </w:r>
      <w:r>
        <w:rPr>
          <w:rFonts w:ascii="宋体" w:eastAsia="宋体" w:hAnsi="宋体" w:cs="宋体" w:hint="eastAsia"/>
          <w:vertAlign w:val="superscript"/>
        </w:rPr>
        <w:t>[</w:t>
      </w:r>
      <w:r>
        <w:rPr>
          <w:rFonts w:ascii="宋体" w:eastAsia="宋体" w:hAnsi="宋体" w:cs="宋体" w:hint="eastAsia"/>
          <w:vertAlign w:val="superscript"/>
          <w:lang w:val="en-US" w:eastAsia="zh-CN"/>
        </w:rPr>
        <w:t>4</w:t>
      </w:r>
      <w:r>
        <w:rPr>
          <w:rFonts w:ascii="宋体" w:eastAsia="宋体" w:hAnsi="宋体" w:cs="宋体" w:hint="eastAsia"/>
          <w:vertAlign w:val="superscript"/>
        </w:rPr>
        <w:t>]</w:t>
      </w:r>
      <w:r>
        <w:rPr>
          <w:rFonts w:ascii="宋体" w:eastAsia="宋体" w:hAnsi="宋体" w:cs="宋体" w:hint="eastAsia"/>
        </w:rPr>
        <w:t>。浇筑初期混凝土弹性模量小，温度变形受约束小，温度应力不能引起开裂；随着混凝土强度不断提高，弹性模量迅速增大，内部约束作用加强，降温阶段产生的收缩拉应力逐渐超过混凝土抗拉强度，就会形成温度裂缝，裂缝大多从结构内部向表面发展。混凝土自身收缩特性，是产生开裂的又一主要原因。混凝土在硬化过程中会存在干燥收缩、碳化收缩和温度收缩，其中干燥收缩所占比例最大。水泥水化过程中水分不断被消耗，表层水分向环境散失，造成混凝土体积收缩变形，当收缩受到基础或者内部钢筋的约束时，就会产生拉应力，引起开裂。碳化收缩是由空气中二氧化碳和水泥水化产物反应引起的，主要发生在结构表面，会加剧表面裂缝的发展。原材料的品质和规格，直接决定混凝土基础抗裂性能的好坏。水泥品种上，矿渣硅酸盐水泥干缩值比普通硅酸盐水泥高约25%，开裂风险大；水泥细度越细，水化反应速度越快，早期放热量大、干缩变形明显，更容易产生早期裂缝。骨料的级配、粒径都会影响到收缩性能，粒径均匀、级配良好的粗骨料可以减少水泥用量，降低收缩变形；反之骨料粒径相差悬殊、含泥量过高会增大混凝土的干缩率，提高开裂风险。</w:t>
      </w:r>
    </w:p>
    <w:p w14:paraId="1AB137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2.3结构设计与荷载适配不足</w:t>
      </w:r>
    </w:p>
    <w:p w14:paraId="0FF095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结构设计阶段对于荷载的考虑是否周全，直接决定着结构先天的抗裂能力。如果设计时不考虑施工期临时荷载、温度应力和基础不均匀沉降的影响，钢筋用量不够或者配筋布置不合理，就会造成结构局部强度储备不足，在实际受力时容易产生受力裂缝。部分水工结构断面突变处没有做过渡处理，容易造成应力集中，成为裂缝的起始部位</w:t>
      </w:r>
      <w:r>
        <w:rPr>
          <w:rFonts w:ascii="宋体" w:eastAsia="宋体" w:hAnsi="宋体" w:cs="宋体" w:hint="eastAsia"/>
          <w:vertAlign w:val="superscript"/>
        </w:rPr>
        <w:t>[</w:t>
      </w:r>
      <w:r>
        <w:rPr>
          <w:rFonts w:ascii="宋体" w:eastAsia="宋体" w:hAnsi="宋体" w:cs="宋体" w:hint="eastAsia"/>
          <w:vertAlign w:val="superscript"/>
          <w:lang w:val="en-US" w:eastAsia="zh-CN"/>
        </w:rPr>
        <w:t>5</w:t>
      </w:r>
      <w:r>
        <w:rPr>
          <w:rFonts w:ascii="宋体" w:eastAsia="宋体" w:hAnsi="宋体" w:cs="宋体" w:hint="eastAsia"/>
          <w:vertAlign w:val="superscript"/>
        </w:rPr>
        <w:t>]</w:t>
      </w:r>
      <w:r>
        <w:rPr>
          <w:rFonts w:ascii="宋体" w:eastAsia="宋体" w:hAnsi="宋体" w:cs="宋体" w:hint="eastAsia"/>
        </w:rPr>
        <w:t>。</w:t>
      </w:r>
    </w:p>
    <w:p w14:paraId="3C7D3A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3水工结构大体积混凝土裂缝的防治措施</w:t>
      </w:r>
    </w:p>
    <w:p w14:paraId="03AE90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3.1施工工序与浇筑过程精细化管控</w:t>
      </w:r>
    </w:p>
    <w:p w14:paraId="0EB1FF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优化施工工序安排，从流程上防控裂缝的基础前提。根据结构特点和现场条件来制定科学的浇筑方案，采用分层分块的浇筑方式，防止一次性浇筑大体积造成温度应力集中。严格控制分层浇筑的时间间隔，保证下层混凝土有足够承载力的同时又防止间隔过长造成结合面开裂，一般把间歇时间控制在混凝土初凝前2小时内。施工时严格按照设计配合比进行，不得随意向混凝土中加水，如果坍落度损失过大，应该用同配比水泥浆搅拌的方法来调节。合理安排拆模时间，混凝土强度达到设计要求的75%以上，内部温度和环境温差小于20℃时拆模，防止早期强度不够产生裂缝。</w:t>
      </w:r>
    </w:p>
    <w:p w14:paraId="0105D0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强化浇筑振捣工艺的规范性，可以有效地保证混凝土的均质性、密实度。控制混凝土下料高度，吊斗下料口自由落距不大于2m，浇筑高度大于3m时采用串筒、溜管等辅助设施下料，防止混凝土离析。采用插入式振捣器进行振捣作业，采用快插慢拔的方式均匀布置插点，插点间距不大于振捣器作用半径的1.5倍，保证振捣密实无漏振；振捣器与模板的距离保持在作用半径的0.5倍以上，防止触碰模板和钢筋。分层浇筑时振捣器要插入下层混凝土50～100mm，保证上下层结合紧密。浇筑时由专人负责检查预埋件、预留洞、钢筋位置，发现偏移及时在初凝前进行调整，防止后期返工造成结构损伤。</w:t>
      </w:r>
    </w:p>
    <w:p w14:paraId="4DBA80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3.2原材料优选与配合比优化</w:t>
      </w:r>
    </w:p>
    <w:p w14:paraId="6BBFA8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合理选择原材料，是提高混凝土抗裂性能的主要途径。水泥优先选用中低热硅酸盐水泥或者低热矿渣硅酸盐水泥，减小水化热释放总量和释放速度，从源头上减少温度应力。骨料应选用级配良好、质地坚硬、热膨胀系数小的品种，粗骨料优先选用玄武岩、石灰岩等，粒径连续级配，含泥量≤1%；细骨料选用中粗砂，含泥量≤2%，以减少水泥用量，降低混凝土收缩率。根据结构性能要求合理选用外加剂和掺合料，掺入粉煤灰、矿渣粉等矿物掺合料，部分替代水泥，既可以降低水化热，又可以改善混凝土的工作性和耐久性；使用缓凝型减水剂，延长凝结时间，放缓水化热峰值，降低温度应力峰值。</w:t>
      </w:r>
    </w:p>
    <w:p w14:paraId="1F5D93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优化混凝土配合比设计，要找到性能和抗裂之间的最佳平衡点。在满足结构强度和工作性要求的基础上，尽量减少水灰比和水泥用量。根据试验结果来确定最佳砂率，保证混凝土的和易性和密实度，减小收缩变形。对抗裂要求高的部位掺入纤维材料，利用纤维的阻裂作用提高混凝土的抗拉性能，防止裂缝的产生和扩展。配合比设计完成后要进行试配验证，检测混凝土的收缩率、抗拉强度、绝热温升等指标，保证抗裂性能满足工程要求。</w:t>
      </w:r>
    </w:p>
    <w:p w14:paraId="12D0F5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3.3温度调控与结构抗裂设计</w:t>
      </w:r>
    </w:p>
    <w:p w14:paraId="7C5205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采取内部降温与表面保温相结合的方式，可以有效地控制由于水化热而引起的温度裂缝。对大体积水工结构内部预埋冷却水管，通入循环冷水带走水化热，降低内部最高温度，减小内外温差，图2为</w:t>
      </w:r>
      <w:r>
        <w:rPr>
          <w:rFonts w:ascii="宋体" w:eastAsia="宋体" w:hAnsi="宋体" w:cs="宋体" w:hint="eastAsia"/>
          <w:lang w:eastAsia="zh-CN"/>
        </w:rPr>
        <w:t>冷</w:t>
      </w:r>
      <w:r>
        <w:rPr>
          <w:rFonts w:ascii="宋体" w:eastAsia="宋体" w:hAnsi="宋体" w:cs="宋体" w:hint="eastAsia"/>
          <w:lang w:val="en-US" w:eastAsia="zh-CN"/>
        </w:rPr>
        <w:t>却水管布置</w:t>
      </w:r>
      <w:r>
        <w:rPr>
          <w:rFonts w:ascii="宋体" w:eastAsia="宋体" w:hAnsi="宋体" w:cs="宋体" w:hint="eastAsia"/>
        </w:rPr>
        <w:t>示意图。冷却水管应采用钢管或PE管，呈蛇形布置，间距根据结构厚度和水化热计算确定，一般控制在1.0～1.5m；通水流量和水温根据内部温度监测结果随时调节，使混凝土内部降温速率不大于2℃/d，防止降温过快引起收缩裂缝。同时在结构表面设置保温层，用保温棉、土工布等材料来减缓表面热量的散失，减小内外温差，使温度梯度控制在允许范围内。</w:t>
      </w:r>
    </w:p>
    <w:p w14:paraId="1301A12B">
      <w:pPr>
        <w:jc w:val="center"/>
        <w:rPr>
          <w:rFonts w:ascii="宋体" w:eastAsia="宋体" w:hAnsi="宋体" w:cs="宋体" w:hint="eastAsia"/>
          <w:sz w:val="21"/>
          <w:szCs w:val="21"/>
        </w:rPr>
      </w:pPr>
      <w:r>
        <w:rPr>
          <w:rFonts w:ascii="宋体" w:eastAsia="宋体" w:hAnsi="宋体" w:cs="宋体" w:hint="eastAsia"/>
          <w:sz w:val="21"/>
          <w:szCs w:val="21"/>
          <w:lang w:val="en-US" w:eastAsia="zh-CN"/>
        </w:rPr>
        <w:t>表</w:t>
      </w:r>
      <w:r>
        <w:rPr>
          <w:rFonts w:ascii="宋体" w:eastAsia="宋体" w:hAnsi="宋体" w:cs="宋体" w:hint="eastAsia"/>
          <w:sz w:val="21"/>
          <w:szCs w:val="21"/>
        </w:rPr>
        <w:t>2 大体积混凝土冷却水管布设参数要求</w:t>
      </w:r>
    </w:p>
    <w:tbl>
      <w:tblPr>
        <w:tblW w:w="852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CellMar>
          <w:left w:w="108" w:type="dxa"/>
          <w:right w:w="108" w:type="dxa"/>
        </w:tblCellMar>
      </w:tblPr>
      <w:tblGrid>
        <w:gridCol w:w="1295"/>
        <w:gridCol w:w="1654"/>
        <w:gridCol w:w="5573"/>
      </w:tblGrid>
      <w:tr w14:paraId="621B52F4">
        <w:tblPrEx>
          <w:tblW w:w="852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CellMar>
            <w:left w:w="108" w:type="dxa"/>
            <w:right w:w="108" w:type="dxa"/>
          </w:tblCellMar>
        </w:tblPrEx>
        <w:trPr>
          <w:trHeight w:hRule="auto" w:val="0"/>
          <w:tblHeader/>
          <w:jc w:val="center"/>
        </w:trPr>
        <w:tc>
          <w:tcPr>
            <w:tcW w:w="1295" w:type="dxa"/>
            <w:tcBorders>
              <w:top w:val="single" w:sz="12" w:space="0" w:color="000000"/>
              <w:left w:val="nil"/>
              <w:bottom w:val="nil"/>
              <w:right w:val="nil"/>
            </w:tcBorders>
            <w:noWrap w:val="0"/>
            <w:tcMar>
              <w:top w:w="-1" w:type="dxa"/>
              <w:left w:w="-1" w:type="dxa"/>
              <w:bottom w:w="-1" w:type="dxa"/>
              <w:right w:w="-1" w:type="dxa"/>
            </w:tcMar>
            <w:vAlign w:val="center"/>
          </w:tcPr>
          <w:p w14:paraId="0D4F5A84">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参数项</w:t>
            </w:r>
          </w:p>
        </w:tc>
        <w:tc>
          <w:tcPr>
            <w:tcW w:w="1654" w:type="dxa"/>
            <w:tcBorders>
              <w:top w:val="single" w:sz="12" w:space="0" w:color="000000"/>
              <w:left w:val="nil"/>
              <w:bottom w:val="nil"/>
              <w:right w:val="nil"/>
            </w:tcBorders>
            <w:noWrap w:val="0"/>
            <w:tcMar>
              <w:top w:w="-1" w:type="dxa"/>
              <w:left w:w="-1" w:type="dxa"/>
              <w:bottom w:w="-1" w:type="dxa"/>
              <w:right w:w="-1" w:type="dxa"/>
            </w:tcMar>
            <w:vAlign w:val="center"/>
          </w:tcPr>
          <w:p w14:paraId="161C3300">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取值标准</w:t>
            </w:r>
          </w:p>
        </w:tc>
        <w:tc>
          <w:tcPr>
            <w:tcW w:w="5573" w:type="dxa"/>
            <w:tcBorders>
              <w:top w:val="single" w:sz="12" w:space="0" w:color="000000"/>
              <w:left w:val="nil"/>
              <w:bottom w:val="nil"/>
              <w:right w:val="nil"/>
            </w:tcBorders>
            <w:noWrap w:val="0"/>
            <w:tcMar>
              <w:top w:w="-1" w:type="dxa"/>
              <w:left w:w="-1" w:type="dxa"/>
              <w:bottom w:w="-1" w:type="dxa"/>
              <w:right w:w="-1" w:type="dxa"/>
            </w:tcMar>
            <w:vAlign w:val="center"/>
          </w:tcPr>
          <w:p w14:paraId="5D359A3C">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设置作用</w:t>
            </w:r>
          </w:p>
        </w:tc>
      </w:tr>
      <w:tr w14:paraId="3489A5BD">
        <w:tblPrEx>
          <w:tblW w:w="8522" w:type="dxa"/>
          <w:jc w:val="center"/>
          <w:tblCellMar>
            <w:left w:w="108" w:type="dxa"/>
            <w:right w:w="108" w:type="dxa"/>
          </w:tblCellMar>
        </w:tblPrEx>
        <w:trPr>
          <w:trHeight w:hRule="auto" w:val="0"/>
          <w:jc w:val="center"/>
        </w:trPr>
        <w:tc>
          <w:tcPr>
            <w:tcW w:w="1295" w:type="dxa"/>
            <w:tcBorders>
              <w:top w:val="single" w:sz="4" w:space="0" w:color="000000"/>
              <w:left w:val="nil"/>
              <w:bottom w:val="nil"/>
              <w:right w:val="nil"/>
            </w:tcBorders>
            <w:noWrap w:val="0"/>
            <w:tcMar>
              <w:top w:w="-1" w:type="dxa"/>
              <w:left w:w="-1" w:type="dxa"/>
              <w:bottom w:w="-1" w:type="dxa"/>
              <w:right w:w="-1" w:type="dxa"/>
            </w:tcMar>
            <w:vAlign w:val="center"/>
          </w:tcPr>
          <w:p w14:paraId="1D1B348E">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管材选型</w:t>
            </w:r>
          </w:p>
        </w:tc>
        <w:tc>
          <w:tcPr>
            <w:tcW w:w="1654" w:type="dxa"/>
            <w:tcBorders>
              <w:top w:val="single" w:sz="4" w:space="0" w:color="000000"/>
              <w:left w:val="nil"/>
              <w:bottom w:val="nil"/>
              <w:right w:val="nil"/>
            </w:tcBorders>
            <w:noWrap w:val="0"/>
            <w:tcMar>
              <w:top w:w="-1" w:type="dxa"/>
              <w:left w:w="-1" w:type="dxa"/>
              <w:bottom w:w="-1" w:type="dxa"/>
              <w:right w:w="-1" w:type="dxa"/>
            </w:tcMar>
            <w:vAlign w:val="center"/>
          </w:tcPr>
          <w:p w14:paraId="2AB96AFA">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钢管或PE管</w:t>
            </w:r>
          </w:p>
        </w:tc>
        <w:tc>
          <w:tcPr>
            <w:tcW w:w="5573" w:type="dxa"/>
            <w:tcBorders>
              <w:top w:val="single" w:sz="4" w:space="0" w:color="000000"/>
              <w:left w:val="nil"/>
              <w:bottom w:val="nil"/>
              <w:right w:val="nil"/>
            </w:tcBorders>
            <w:noWrap w:val="0"/>
            <w:tcMar>
              <w:top w:w="-1" w:type="dxa"/>
              <w:left w:w="-1" w:type="dxa"/>
              <w:bottom w:w="-1" w:type="dxa"/>
              <w:right w:w="-1" w:type="dxa"/>
            </w:tcMar>
            <w:vAlign w:val="center"/>
          </w:tcPr>
          <w:p w14:paraId="13079781">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保障通水密封性，适配混凝土内部环境</w:t>
            </w:r>
          </w:p>
        </w:tc>
      </w:tr>
      <w:tr w14:paraId="095B9B15">
        <w:tblPrEx>
          <w:tblW w:w="8522" w:type="dxa"/>
          <w:jc w:val="center"/>
          <w:tblCellMar>
            <w:left w:w="108" w:type="dxa"/>
            <w:right w:w="108" w:type="dxa"/>
          </w:tblCellMar>
        </w:tblPrEx>
        <w:trPr>
          <w:trHeight w:hRule="auto" w:val="0"/>
          <w:jc w:val="center"/>
        </w:trPr>
        <w:tc>
          <w:tcPr>
            <w:tcW w:w="1295" w:type="dxa"/>
            <w:tcBorders>
              <w:top w:val="nil"/>
              <w:left w:val="nil"/>
              <w:bottom w:val="nil"/>
              <w:right w:val="nil"/>
            </w:tcBorders>
            <w:noWrap w:val="0"/>
            <w:tcMar>
              <w:top w:w="-1" w:type="dxa"/>
              <w:left w:w="-1" w:type="dxa"/>
              <w:bottom w:w="-1" w:type="dxa"/>
              <w:right w:w="-1" w:type="dxa"/>
            </w:tcMar>
            <w:vAlign w:val="center"/>
          </w:tcPr>
          <w:p w14:paraId="0B097335">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布置形式</w:t>
            </w:r>
          </w:p>
        </w:tc>
        <w:tc>
          <w:tcPr>
            <w:tcW w:w="1654" w:type="dxa"/>
            <w:tcBorders>
              <w:top w:val="nil"/>
              <w:left w:val="nil"/>
              <w:bottom w:val="nil"/>
              <w:right w:val="nil"/>
            </w:tcBorders>
            <w:noWrap w:val="0"/>
            <w:tcMar>
              <w:top w:w="-1" w:type="dxa"/>
              <w:left w:w="-1" w:type="dxa"/>
              <w:bottom w:w="-1" w:type="dxa"/>
              <w:right w:w="-1" w:type="dxa"/>
            </w:tcMar>
            <w:vAlign w:val="center"/>
          </w:tcPr>
          <w:p w14:paraId="6253BE82">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蛇形布置</w:t>
            </w:r>
          </w:p>
        </w:tc>
        <w:tc>
          <w:tcPr>
            <w:tcW w:w="5573" w:type="dxa"/>
            <w:tcBorders>
              <w:top w:val="nil"/>
              <w:left w:val="nil"/>
              <w:bottom w:val="nil"/>
              <w:right w:val="nil"/>
            </w:tcBorders>
            <w:noWrap w:val="0"/>
            <w:tcMar>
              <w:top w:w="-1" w:type="dxa"/>
              <w:left w:w="-1" w:type="dxa"/>
              <w:bottom w:w="-1" w:type="dxa"/>
              <w:right w:w="-1" w:type="dxa"/>
            </w:tcMar>
            <w:vAlign w:val="center"/>
          </w:tcPr>
          <w:p w14:paraId="6D39BD27">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均匀覆盖结构断面，提升降温均衡性</w:t>
            </w:r>
          </w:p>
        </w:tc>
      </w:tr>
      <w:tr w14:paraId="000FBAF0">
        <w:tblPrEx>
          <w:tblW w:w="8522" w:type="dxa"/>
          <w:jc w:val="center"/>
          <w:tblCellMar>
            <w:left w:w="108" w:type="dxa"/>
            <w:right w:w="108" w:type="dxa"/>
          </w:tblCellMar>
        </w:tblPrEx>
        <w:trPr>
          <w:trHeight w:hRule="auto" w:val="0"/>
          <w:jc w:val="center"/>
        </w:trPr>
        <w:tc>
          <w:tcPr>
            <w:tcW w:w="1295" w:type="dxa"/>
            <w:tcBorders>
              <w:top w:val="nil"/>
              <w:left w:val="nil"/>
              <w:bottom w:val="nil"/>
              <w:right w:val="nil"/>
            </w:tcBorders>
            <w:noWrap w:val="0"/>
            <w:tcMar>
              <w:top w:w="-1" w:type="dxa"/>
              <w:left w:w="-1" w:type="dxa"/>
              <w:bottom w:w="-1" w:type="dxa"/>
              <w:right w:w="-1" w:type="dxa"/>
            </w:tcMar>
            <w:vAlign w:val="center"/>
          </w:tcPr>
          <w:p w14:paraId="60DE1478">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管体间距</w:t>
            </w:r>
          </w:p>
        </w:tc>
        <w:tc>
          <w:tcPr>
            <w:tcW w:w="1654" w:type="dxa"/>
            <w:tcBorders>
              <w:top w:val="nil"/>
              <w:left w:val="nil"/>
              <w:bottom w:val="nil"/>
              <w:right w:val="nil"/>
            </w:tcBorders>
            <w:noWrap w:val="0"/>
            <w:tcMar>
              <w:top w:w="-1" w:type="dxa"/>
              <w:left w:w="-1" w:type="dxa"/>
              <w:bottom w:w="-1" w:type="dxa"/>
              <w:right w:w="-1" w:type="dxa"/>
            </w:tcMar>
            <w:vAlign w:val="center"/>
          </w:tcPr>
          <w:p w14:paraId="251F97EB">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1.0~1.5m</w:t>
            </w:r>
          </w:p>
        </w:tc>
        <w:tc>
          <w:tcPr>
            <w:tcW w:w="5573" w:type="dxa"/>
            <w:tcBorders>
              <w:top w:val="nil"/>
              <w:left w:val="nil"/>
              <w:bottom w:val="nil"/>
              <w:right w:val="nil"/>
            </w:tcBorders>
            <w:noWrap w:val="0"/>
            <w:tcMar>
              <w:top w:w="-1" w:type="dxa"/>
              <w:left w:w="-1" w:type="dxa"/>
              <w:bottom w:w="-1" w:type="dxa"/>
              <w:right w:w="-1" w:type="dxa"/>
            </w:tcMar>
            <w:vAlign w:val="center"/>
          </w:tcPr>
          <w:p w14:paraId="7802276B">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结合结构厚度与水化热计算，保证降温覆盖效果</w:t>
            </w:r>
          </w:p>
        </w:tc>
      </w:tr>
      <w:tr w14:paraId="2B49FE29">
        <w:tblPrEx>
          <w:tblW w:w="8522" w:type="dxa"/>
          <w:jc w:val="center"/>
          <w:tblCellMar>
            <w:left w:w="108" w:type="dxa"/>
            <w:right w:w="108" w:type="dxa"/>
          </w:tblCellMar>
        </w:tblPrEx>
        <w:trPr>
          <w:trHeight w:hRule="auto" w:val="0"/>
          <w:jc w:val="center"/>
        </w:trPr>
        <w:tc>
          <w:tcPr>
            <w:tcW w:w="1295" w:type="dxa"/>
            <w:tcBorders>
              <w:top w:val="nil"/>
              <w:left w:val="nil"/>
              <w:bottom w:val="single" w:sz="12" w:space="0" w:color="000000"/>
              <w:right w:val="nil"/>
            </w:tcBorders>
            <w:noWrap w:val="0"/>
            <w:tcMar>
              <w:top w:w="-1" w:type="dxa"/>
              <w:left w:w="-1" w:type="dxa"/>
              <w:bottom w:w="-1" w:type="dxa"/>
              <w:right w:w="-1" w:type="dxa"/>
            </w:tcMar>
            <w:vAlign w:val="center"/>
          </w:tcPr>
          <w:p w14:paraId="2AC4B666">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降温速率</w:t>
            </w:r>
          </w:p>
        </w:tc>
        <w:tc>
          <w:tcPr>
            <w:tcW w:w="1654" w:type="dxa"/>
            <w:tcBorders>
              <w:top w:val="nil"/>
              <w:left w:val="nil"/>
              <w:bottom w:val="single" w:sz="12" w:space="0" w:color="000000"/>
              <w:right w:val="nil"/>
            </w:tcBorders>
            <w:noWrap w:val="0"/>
            <w:tcMar>
              <w:top w:w="-1" w:type="dxa"/>
              <w:left w:w="-1" w:type="dxa"/>
              <w:bottom w:w="-1" w:type="dxa"/>
              <w:right w:w="-1" w:type="dxa"/>
            </w:tcMar>
            <w:vAlign w:val="center"/>
          </w:tcPr>
          <w:p w14:paraId="238C44DA">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≤2℃/d</w:t>
            </w:r>
          </w:p>
        </w:tc>
        <w:tc>
          <w:tcPr>
            <w:tcW w:w="5573" w:type="dxa"/>
            <w:tcBorders>
              <w:top w:val="nil"/>
              <w:left w:val="nil"/>
              <w:bottom w:val="single" w:sz="12" w:space="0" w:color="000000"/>
              <w:right w:val="nil"/>
            </w:tcBorders>
            <w:noWrap w:val="0"/>
            <w:tcMar>
              <w:top w:w="-1" w:type="dxa"/>
              <w:left w:w="-1" w:type="dxa"/>
              <w:bottom w:w="-1" w:type="dxa"/>
              <w:right w:w="-1" w:type="dxa"/>
            </w:tcMar>
            <w:vAlign w:val="center"/>
          </w:tcPr>
          <w:p w14:paraId="4EE0259D">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避免降温过快引发收缩裂缝</w:t>
            </w:r>
          </w:p>
        </w:tc>
      </w:tr>
    </w:tbl>
    <w:p w14:paraId="63A80C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优化结构设计细节，从源头上提高结构的抗裂冗余度。在设计阶段充分考虑温度应力、收缩变形、基础沉降等对结构的影响，合理布置钢筋，在结构断面突变、孔洞周边等应力集中处增设抗裂钢筋，分散应力集中效应。合理设置伸缩缝和沉降缝，释放温度变形和沉降变形引起的应力，防止出现裂缝。对容易产生裂缝的部位，采用渐变断面、倒角过渡等方法来降低应力集中系数，提高结构的抗裂性能。</w:t>
      </w:r>
    </w:p>
    <w:p w14:paraId="31D69C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lang w:eastAsia="zh-CN"/>
        </w:rPr>
      </w:pPr>
      <w:r>
        <w:rPr>
          <w:rFonts w:ascii="宋体" w:eastAsia="宋体" w:hAnsi="宋体" w:cs="宋体" w:hint="eastAsia"/>
          <w:lang w:eastAsia="zh-CN"/>
        </w:rPr>
        <w:drawing>
          <wp:inline distT="0" distB="0" distL="114300" distR="114300">
            <wp:extent cx="3822700" cy="2237105"/>
            <wp:effectExtent l="0" t="0" r="2540" b="3175"/>
            <wp:docPr id="2" name="图片 2" descr="dec2bec4574c1493ab6cab2e553ae3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ec2bec4574c1493ab6cab2e553ae3ba"/>
                    <pic:cNvPicPr>
                      <a:picLocks noChangeAspect="1"/>
                    </pic:cNvPicPr>
                  </pic:nvPicPr>
                  <pic:blipFill>
                    <a:blip xmlns:r="http://schemas.openxmlformats.org/officeDocument/2006/relationships" r:embed="rId5"/>
                    <a:stretch>
                      <a:fillRect/>
                    </a:stretch>
                  </pic:blipFill>
                  <pic:spPr>
                    <a:xfrm>
                      <a:off x="0" y="0"/>
                      <a:ext cx="3822700" cy="2237105"/>
                    </a:xfrm>
                    <a:prstGeom prst="rect">
                      <a:avLst/>
                    </a:prstGeom>
                  </pic:spPr>
                </pic:pic>
              </a:graphicData>
            </a:graphic>
          </wp:inline>
        </w:drawing>
      </w:r>
    </w:p>
    <w:p w14:paraId="744DB9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lang w:val="en-US" w:eastAsia="zh-CN"/>
        </w:rPr>
      </w:pPr>
      <w:r>
        <w:rPr>
          <w:rFonts w:ascii="宋体" w:eastAsia="宋体" w:hAnsi="宋体" w:cs="宋体" w:hint="eastAsia"/>
          <w:lang w:val="en-US" w:eastAsia="zh-CN"/>
        </w:rPr>
        <w:t>图2冷却水管平面布置图</w:t>
      </w:r>
    </w:p>
    <w:p w14:paraId="49523C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3.4全周期养护体系构建</w:t>
      </w:r>
    </w:p>
    <w:p w14:paraId="440A96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建立施工全过程的养护体系，是保证混凝土强度增长、减少收缩裂缝的重要环节。混凝土浇筑完毕后，在12～18小时内及时覆盖保湿养护，用土工布、草帘等材料覆盖表面，减少水分蒸发。带模养护时可稍许放松模板缝口，向模板内侧浇水保持混凝土表面湿润。拆模后转为洒水养护，普通部位养护不少于14天，重要受力部位及抗冲磨区域养护不少于28天。</w:t>
      </w:r>
    </w:p>
    <w:p w14:paraId="462DFC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差异化养护策略可以满足不同环境下的抗裂要求。根据不同的环境条件来调节养护的方式，在夏季高温施工的时候，适当增加洒水的次数，并且搭建遮阳棚来防止阳光直接照射造成表面水分迅速蒸发，在冬季低温施工的时候，采取保温蓄热的方法，覆盖保温材料，必要时使用蒸汽养护，防止混凝土受冻开裂。养护期间设立养护人员，建立养护台账，对养护时间、洒水次数、温度湿度等进行记录，保证养护工作落实到位。</w:t>
      </w:r>
    </w:p>
    <w:p w14:paraId="1F95F5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4</w:t>
      </w:r>
      <w:r>
        <w:rPr>
          <w:rFonts w:ascii="宋体" w:eastAsia="宋体" w:hAnsi="宋体" w:cs="宋体" w:hint="eastAsia"/>
        </w:rPr>
        <w:t>结语</w:t>
      </w:r>
    </w:p>
    <w:p w14:paraId="12803E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水工结构大体积混凝土裂缝是由施工、材料、设计等众多因素共同作用产生的，裂缝的防治不能只靠一个措施来解决，而应该坚持预防为主、综合治理的原则，贯穿于工程设计、施工、养护的全过程。通过对裂缝类型及特征进行系统的整理，准确找到开裂的原因，从工序控制、材料改良、温度调节、养护加强等各方面综合施策，可以有效地减少裂缝的发生，提高结构的整体性和耐久性。工程实践当中还要联系具体的水工结构特性及现场环境状况，对防控方案实施动态调整，不断积累经验，切实保证水利工程长久安全稳定运行。</w:t>
      </w:r>
    </w:p>
    <w:p w14:paraId="238636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548058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参考文献：</w:t>
      </w:r>
    </w:p>
    <w:p w14:paraId="66685E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[1]杨柳.大体积池体混凝土裂缝防控施工技术研究[J].水泥,2026,(10):130-132.</w:t>
      </w:r>
    </w:p>
    <w:p w14:paraId="35A623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rPr>
        <w:t>[</w:t>
      </w:r>
      <w:r>
        <w:rPr>
          <w:rFonts w:ascii="宋体" w:eastAsia="宋体" w:hAnsi="宋体" w:cs="宋体" w:hint="eastAsia"/>
          <w:lang w:val="en-US" w:eastAsia="zh-CN"/>
        </w:rPr>
        <w:t>2</w:t>
      </w:r>
      <w:r>
        <w:rPr>
          <w:rFonts w:ascii="宋体" w:eastAsia="宋体" w:hAnsi="宋体" w:cs="宋体" w:hint="eastAsia"/>
        </w:rPr>
        <w:t>]毛祖伟.大体积混凝土裂缝控制技术及监测方法研究[J].城市建设,2026,(26):33-35.</w:t>
      </w:r>
    </w:p>
    <w:p w14:paraId="5C7C25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w:t>
      </w:r>
      <w:r>
        <w:rPr>
          <w:rFonts w:ascii="宋体" w:eastAsia="宋体" w:hAnsi="宋体" w:cs="宋体" w:hint="eastAsia"/>
          <w:lang w:val="en-US" w:eastAsia="zh-CN"/>
        </w:rPr>
        <w:t>3</w:t>
      </w:r>
      <w:r>
        <w:rPr>
          <w:rFonts w:ascii="宋体" w:eastAsia="宋体" w:hAnsi="宋体" w:cs="宋体" w:hint="eastAsia"/>
        </w:rPr>
        <w:t>]王志勇.水工结构大体积混凝土裂缝成因及防治措施研究[J].科技创新与品牌,2021,(4):74-77.</w:t>
      </w:r>
    </w:p>
    <w:p w14:paraId="16996E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w:t>
      </w:r>
      <w:r>
        <w:rPr>
          <w:rFonts w:ascii="宋体" w:eastAsia="宋体" w:hAnsi="宋体" w:cs="宋体" w:hint="eastAsia"/>
          <w:lang w:val="en-US" w:eastAsia="zh-CN"/>
        </w:rPr>
        <w:t>4</w:t>
      </w:r>
      <w:r>
        <w:rPr>
          <w:rFonts w:ascii="宋体" w:eastAsia="宋体" w:hAnsi="宋体" w:cs="宋体" w:hint="eastAsia"/>
        </w:rPr>
        <w:t>]王跃.水工结构大体积混凝土裂缝成因与防治分析[J].居舍,2020,(16):83-84.</w:t>
      </w:r>
    </w:p>
    <w:p w14:paraId="69B716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w:t>
      </w:r>
      <w:r>
        <w:rPr>
          <w:rFonts w:ascii="宋体" w:eastAsia="宋体" w:hAnsi="宋体" w:cs="宋体" w:hint="eastAsia"/>
          <w:lang w:val="en-US" w:eastAsia="zh-CN"/>
        </w:rPr>
        <w:t>5</w:t>
      </w:r>
      <w:r>
        <w:rPr>
          <w:rFonts w:ascii="宋体" w:eastAsia="宋体" w:hAnsi="宋体" w:cs="宋体" w:hint="eastAsia"/>
        </w:rPr>
        <w:t>]诸葛伟,杨济宇.大体积水工混凝土浇筑裂缝原因及控制分析[J].地方水利技术的应用与实践,2026,(1):304-312.</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5F963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15</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dc:creator>
  <cp:lastModifiedBy>星冉</cp:lastModifiedBy>
  <cp:revision>0</cp:revision>
  <dcterms:created xsi:type="dcterms:W3CDTF">2026-10-15T01:26:36Z</dcterms:created>
  <dcterms:modified xsi:type="dcterms:W3CDTF">2026-10-15T02:09:20Z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74FDBB9B5EE5434DA18AE80135F5557E_12</vt:lpwstr>
  </property>
  <property fmtid="{D5CDD505-2E9C-101B-9397-08002B2CF9AE}" pid="3" name="KSOProductBuildVer">
    <vt:lpwstr>2052-12.1.0.29161</vt:lpwstr>
  </property>
  <property fmtid="{D5CDD505-2E9C-101B-9397-08002B2CF9AE}" pid="4" name="KSOTemplateDocerSaveRecord">
    <vt:lpwstr>eyJoZGlkIjoiMTgxNGUwNDY3ZGJhODZkZmMzYjI4Yzc2NjhmMDI4NDIiLCJ1c2VySWQiOiIzMTM0ODA4NDEifQ==</vt:lpwstr>
  </property>
</Properties>
</file>