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889F3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t>水利水电工程设计中三维协同设计的应用</w:t>
      </w:r>
    </w:p>
    <w:p w14:paraId="79BC76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55DA54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水利水电工程规模大、专业交叉多，传统的二维设计模式存在着协同效率低、空间表达抽象、错误发现迟缓等缺点，不能满足新时代工程精细化建设的要求。本文以三维协同设计为研究对象，对它的技术内涵以及水利行业的发展脉络进行梳理，从可视化表达、跨专业协作、空间控制三个方面来分析它的主要优势，并结合工程设计逻辑提出分层落地的应用路径。研究结果表明三维协同设计可以很好地解决专业数据壁垒问题，提高设计精度和项目控制能力，给水利水电工程设计数字化转型提供一定的参考。</w:t>
      </w:r>
    </w:p>
    <w:p w14:paraId="56278A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rPr>
        <w:t>：水利水电工程；三维协同设计；BIM技术；设计数字化；工程应用</w:t>
      </w:r>
    </w:p>
    <w:p w14:paraId="30FFD5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1F8F93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水利水</w:t>
      </w:r>
      <w:r>
        <w:rPr>
          <w:rFonts w:ascii="宋体" w:eastAsia="宋体" w:hAnsi="宋体" w:cs="宋体" w:hint="eastAsia"/>
          <w:lang w:eastAsia="zh-CN"/>
        </w:rPr>
        <w:t>电</w:t>
      </w:r>
      <w:r>
        <w:rPr>
          <w:rFonts w:ascii="宋体" w:eastAsia="宋体" w:hAnsi="宋体" w:cs="宋体" w:hint="eastAsia"/>
        </w:rPr>
        <w:t>工程属于国家水资源调配、清洁能源供应以及防洪减灾体系的关键基础设施，它的设计质量直接影响到工程建设的安全性能、投资成本以及整个生命周期的效益。传统的水利工程设计模式依靠二维图纸来传递信息，各个专业之间是串行进行的，由于缺乏对空间冲突、参数错误等隐患的预测，已经不能满足大型水利工程精细化、数字化的要求。目前中国正加快推进一批跨流域、复合型重大水利工程建设，工程专业种类更多、系统更复杂，设计环节的协同效率和精度控制压力越来越大，传统模式下信息传递损耗大、版本管理难、工程量核算不准等问题更加突出。同时工程建设全生命周期一体化管理理念不断深入，设计成果不再只是施工出图，还要向施工建造、运维管理阶段延伸传递，对设计的数字化交付能力以及数据同源性提出新的要求。</w:t>
      </w:r>
    </w:p>
    <w:p w14:paraId="110AD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1</w:t>
      </w:r>
      <w:r>
        <w:rPr>
          <w:rFonts w:ascii="宋体" w:eastAsia="宋体" w:hAnsi="宋体" w:cs="宋体" w:hint="eastAsia"/>
        </w:rPr>
        <w:t>三维协同设计的技术内涵与发展脉络</w:t>
      </w:r>
    </w:p>
    <w:p w14:paraId="6247F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1.1三维协同设计的技术内涵</w:t>
      </w:r>
    </w:p>
    <w:p w14:paraId="5B1FA9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维协同设计并不是单一的建模工具的更新，它是一种从串行到并行、从二维图纸驱动到三维模型驱动的设计范式变革。它以统一的数字化平台为依托，把各个专业、各个岗位的设计人员放在同一个工作环境中，用参数化模型来承载全部的设计信息，从而达到设计数据同源共享、实时同步的目的。与传统的单机版三维建模不同的是，协同设计的关键是“协同”，所有的设计操作都以同一个数据源为基础进行，任何一个专业的设计变更都会立即反映到相关的专业上，不会出现传统模式下图纸互提造成的版本偏差和信息损耗。从技术本质上看，三维协同设计把参数化建模、数据管理和网络协作这三个技术模块融合起来，最终目的就是创建起全专业、全流程的数字化设计体系，把设计工作从“图纸传递”转变为“模型共创”。</w:t>
      </w:r>
    </w:p>
    <w:p w14:paraId="38E205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1.2水利水电领域三维协同设计的发展演进</w:t>
      </w:r>
    </w:p>
    <w:p w14:paraId="097888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利水电领域设计数字化的发展一直和工程建设的需求以及信息技术的发展相一致。国内水利行业最早开始数字化的尝试是在20世纪90年代，CAD技术的普及取代了传统的手工绘图，大大提高了图纸的绘制速度，但是本质上还是二维设计。进入21世纪以后，三维建模技术渐渐进入水利设计领域，设计人员开始尝试创建水工建筑物的立体模型，用以表现方案并做碰撞检查，不过此时的建模大多为单专业单独进行，模型之间没有数据联系，协同价值尚未得到发挥。2010年以后，BIM理念在建筑领域成熟应用给水利行业提供借鉴，三维协同设计由原来的单专业建模向多专业协同转变，部分大型水利工程开始试点，探索统一平台下的并行设计模式。国内水利水电设计单位逐渐形成以Bentley、Autodesk两个产品体系为主的技术路线，部分大型设计院还根据通用平台开发出行业定制化模块，从而提高了协同设计的场景适配性。近些年来，伴随着数字孪生、智慧水利这些概念的出现，三维协同设计的应用范围也越来越大，渐渐由设计阶段延伸到施工和运营的全生命周期当中，成为水利工程数字化创建的关键根基。</w:t>
      </w:r>
    </w:p>
    <w:p w14:paraId="5DB86F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2</w:t>
      </w:r>
      <w:r>
        <w:rPr>
          <w:rFonts w:ascii="宋体" w:eastAsia="宋体" w:hAnsi="宋体" w:cs="宋体" w:hint="eastAsia"/>
        </w:rPr>
        <w:t>水利水电工程设计中三维协同设计的核心优势</w:t>
      </w:r>
    </w:p>
    <w:p w14:paraId="33C282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2.1可视化表达与方案预演优势</w:t>
      </w:r>
    </w:p>
    <w:p w14:paraId="60E0AB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相比二维图纸的抽象表现形式来说，三维协同设计最直接的价值就是可视化。它把坝体、溢洪道、电站厂房、机电设备等全部工程要素转化成立体数字模型，完整地再现了工程的空间形态和结构细节，使设计人员不需要通过空间想象就能把握工程的整体布局，</w:t>
      </w:r>
      <w:r>
        <w:rPr>
          <w:rFonts w:ascii="宋体" w:eastAsia="宋体" w:hAnsi="宋体" w:cs="宋体" w:hint="eastAsia"/>
          <w:lang w:eastAsia="zh-CN"/>
        </w:rPr>
        <w:t>如</w:t>
      </w:r>
      <w:r>
        <w:rPr>
          <w:rFonts w:ascii="宋体" w:eastAsia="宋体" w:hAnsi="宋体" w:cs="宋体" w:hint="eastAsia"/>
          <w:lang w:val="en-US" w:eastAsia="zh-CN"/>
        </w:rPr>
        <w:t>图1所示。</w:t>
      </w:r>
      <w:r>
        <w:rPr>
          <w:rFonts w:ascii="宋体" w:eastAsia="宋体" w:hAnsi="宋体" w:cs="宋体" w:hint="eastAsia"/>
        </w:rPr>
        <w:t>与传统的设计方式相比，三维协同设计给设计人员赋予了可视化、精确化的平台服务，从而降低设计工作的难度</w:t>
      </w:r>
      <w:r>
        <w:rPr>
          <w:rFonts w:ascii="宋体" w:eastAsia="宋体" w:hAnsi="宋体" w:cs="宋体" w:hint="eastAsia"/>
          <w:vertAlign w:val="superscript"/>
        </w:rPr>
        <w:t>[1]</w:t>
      </w:r>
      <w:r>
        <w:rPr>
          <w:rFonts w:ascii="宋体" w:eastAsia="宋体" w:hAnsi="宋体" w:cs="宋体" w:hint="eastAsia"/>
        </w:rPr>
        <w:t>。方案设计阶段设计人员可以利用三维模型模拟施工全过程，提前发现施工工序中存在的冲突和风险点，有针对性地对设计方案进行优化，在方案评审阶段，立体模型可以直接用于汇报演示，减少不同专业背景人员的读图误差，提高评审决策的准确性与效率。对地质条件复杂的大坝工程来说，用三维模型叠加地形、地质图层的方法来表现建筑物和地层的空间位置，给基础设计提供更加充分的依据</w:t>
      </w:r>
      <w:r>
        <w:rPr>
          <w:rFonts w:ascii="宋体" w:eastAsia="宋体" w:hAnsi="宋体" w:cs="宋体" w:hint="eastAsia"/>
          <w:vertAlign w:val="superscript"/>
        </w:rPr>
        <w:t>[</w:t>
      </w:r>
      <w:r>
        <w:rPr>
          <w:rFonts w:ascii="宋体" w:eastAsia="宋体" w:hAnsi="宋体" w:cs="宋体" w:hint="eastAsia"/>
          <w:vertAlign w:val="superscript"/>
          <w:lang w:val="en-US" w:eastAsia="zh-CN"/>
        </w:rPr>
        <w:t>2</w:t>
      </w:r>
      <w:r>
        <w:rPr>
          <w:rFonts w:ascii="宋体" w:eastAsia="宋体" w:hAnsi="宋体" w:cs="宋体" w:hint="eastAsia"/>
          <w:vertAlign w:val="superscript"/>
        </w:rPr>
        <w:t>]</w:t>
      </w:r>
      <w:r>
        <w:rPr>
          <w:rFonts w:ascii="宋体" w:eastAsia="宋体" w:hAnsi="宋体" w:cs="宋体" w:hint="eastAsia"/>
        </w:rPr>
        <w:t>。</w:t>
      </w:r>
    </w:p>
    <w:p w14:paraId="7E41F2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drawing>
          <wp:inline distT="0" distB="0" distL="114300" distR="114300">
            <wp:extent cx="4360545" cy="1836420"/>
            <wp:effectExtent l="0" t="0" r="133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4360545" cy="1836420"/>
                    </a:xfrm>
                    <a:prstGeom prst="rect">
                      <a:avLst/>
                    </a:prstGeom>
                    <a:noFill/>
                    <a:ln>
                      <a:noFill/>
                    </a:ln>
                  </pic:spPr>
                </pic:pic>
              </a:graphicData>
            </a:graphic>
          </wp:inline>
        </w:drawing>
      </w:r>
    </w:p>
    <w:p w14:paraId="1DAF8B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 xml:space="preserve">图1 </w:t>
      </w:r>
      <w:r>
        <w:rPr>
          <w:rFonts w:ascii="宋体" w:eastAsia="宋体" w:hAnsi="宋体" w:cs="宋体"/>
          <w:sz w:val="21"/>
          <w:szCs w:val="21"/>
        </w:rPr>
        <w:t>三维协同设计整体模型示意图</w:t>
      </w:r>
    </w:p>
    <w:p w14:paraId="65C2BB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2.2跨专业协同与效率提升优势</w:t>
      </w:r>
    </w:p>
    <w:p w14:paraId="344CD9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利水电工程设计的复杂性，实质上就是多专业交叉协作所引起的。一项完整的工程设计要水工、地质、机电、金结、施工、水文等十几个专业配合完成，传统的模式下各个专业串行工作，用互提图纸的方式传递信息，造成设计周期长、版本不一致、参数错漏等问题。三维协同设计从底层重新构建了协作方式，所有的专业都以同一个数据平台为依托同时开展工作，设计成果可以实时共享，变更信息也会同步更新，从根本上减少了信息传递中间环节。传统二维设计和三维协同设计的协作效率对比见表1</w:t>
      </w:r>
      <w:r>
        <w:rPr>
          <w:rFonts w:ascii="宋体" w:eastAsia="宋体" w:hAnsi="宋体" w:cs="宋体" w:hint="eastAsia"/>
          <w:lang w:val="en-US" w:eastAsia="zh-CN"/>
        </w:rPr>
        <w:t>，从表中可知</w:t>
      </w:r>
      <w:r>
        <w:rPr>
          <w:rFonts w:ascii="宋体" w:eastAsia="宋体" w:hAnsi="宋体" w:cs="宋体" w:hint="eastAsia"/>
        </w:rPr>
        <w:t>三维协同设计在协作效率、质量控制上比二维设计有明显的优势。采用三维协同设计之后，跨专业沟通成本可以降低40%以上，设计变更的响应速度也提高了很多，从而大大缩短了整个设计周期</w:t>
      </w:r>
      <w:r>
        <w:rPr>
          <w:rFonts w:ascii="宋体" w:eastAsia="宋体" w:hAnsi="宋体" w:cs="宋体" w:hint="eastAsia"/>
          <w:vertAlign w:val="superscript"/>
          <w:lang w:val="en-US" w:eastAsia="zh-CN"/>
        </w:rPr>
        <w:t>[3]</w:t>
      </w:r>
      <w:r>
        <w:rPr>
          <w:rFonts w:ascii="宋体" w:eastAsia="宋体" w:hAnsi="宋体" w:cs="宋体" w:hint="eastAsia"/>
        </w:rPr>
        <w:t>。统一的数据平台使设计成果有了统一的管理与追溯，避免了传统模式下文件分散、版本混乱的情况出现，提高了设计管理的精细化程度。</w:t>
      </w:r>
    </w:p>
    <w:p w14:paraId="63DB5CF8">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rPr>
          <w:rFonts w:ascii="宋体" w:eastAsia="宋体" w:hAnsi="宋体" w:cs="宋体" w:hint="eastAsia"/>
        </w:rPr>
        <w:t>表1传统二维设计与三维协同设计的协作效率对比</w:t>
      </w:r>
    </w:p>
    <w:tbl>
      <w:tblPr>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
      <w:tblGrid>
        <w:gridCol w:w="1704"/>
        <w:gridCol w:w="3407"/>
        <w:gridCol w:w="3408"/>
      </w:tblGrid>
      <w:tr w14:paraId="7B9AE630">
        <w:tblPrEx>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Ex>
        <w:trPr>
          <w:trHeight w:hRule="auto" w:val="0"/>
          <w:tblHeader/>
          <w:jc w:val="center"/>
        </w:trPr>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766586E0">
            <w:pPr>
              <w:snapToGrid w:val="0"/>
              <w:jc w:val="center"/>
              <w:rPr>
                <w:rFonts w:ascii="宋体" w:eastAsia="宋体" w:hAnsi="宋体" w:cs="宋体" w:hint="eastAsia"/>
                <w:b/>
              </w:rPr>
            </w:pPr>
            <w:r>
              <w:rPr>
                <w:rFonts w:ascii="宋体" w:eastAsia="宋体" w:hAnsi="宋体" w:cs="宋体" w:hint="eastAsia"/>
                <w:b/>
              </w:rPr>
              <w:t>对比维度</w:t>
            </w:r>
          </w:p>
        </w:tc>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28C52DEB">
            <w:pPr>
              <w:snapToGrid w:val="0"/>
              <w:jc w:val="center"/>
              <w:rPr>
                <w:rFonts w:ascii="宋体" w:eastAsia="宋体" w:hAnsi="宋体" w:cs="宋体" w:hint="eastAsia"/>
                <w:b/>
              </w:rPr>
            </w:pPr>
            <w:r>
              <w:rPr>
                <w:rFonts w:ascii="宋体" w:eastAsia="宋体" w:hAnsi="宋体" w:cs="宋体" w:hint="eastAsia"/>
                <w:b/>
              </w:rPr>
              <w:t>传统二维设计模式</w:t>
            </w:r>
          </w:p>
        </w:tc>
        <w:tc>
          <w:tcPr>
            <w:tcW w:w="3408" w:type="dxa"/>
            <w:tcBorders>
              <w:top w:val="single" w:sz="12" w:space="0" w:color="000000"/>
              <w:left w:val="nil"/>
              <w:bottom w:val="nil"/>
              <w:right w:val="nil"/>
            </w:tcBorders>
            <w:noWrap w:val="0"/>
            <w:tcMar>
              <w:top w:w="-1" w:type="dxa"/>
              <w:left w:w="-1" w:type="dxa"/>
              <w:bottom w:w="-1" w:type="dxa"/>
              <w:right w:w="-1" w:type="dxa"/>
            </w:tcMar>
            <w:vAlign w:val="center"/>
          </w:tcPr>
          <w:p w14:paraId="2258A3B2">
            <w:pPr>
              <w:snapToGrid w:val="0"/>
              <w:jc w:val="center"/>
              <w:rPr>
                <w:rFonts w:ascii="宋体" w:eastAsia="宋体" w:hAnsi="宋体" w:cs="宋体" w:hint="eastAsia"/>
                <w:b/>
              </w:rPr>
            </w:pPr>
            <w:r>
              <w:rPr>
                <w:rFonts w:ascii="宋体" w:eastAsia="宋体" w:hAnsi="宋体" w:cs="宋体" w:hint="eastAsia"/>
                <w:b/>
              </w:rPr>
              <w:t>三维协同设计模式</w:t>
            </w:r>
          </w:p>
        </w:tc>
      </w:tr>
      <w:tr w14:paraId="21A96853">
        <w:tblPrEx>
          <w:tblW w:w="8519" w:type="dxa"/>
          <w:jc w:val="center"/>
          <w:tblCellMar>
            <w:left w:w="108" w:type="dxa"/>
            <w:right w:w="108" w:type="dxa"/>
          </w:tblCellMar>
        </w:tblPrEx>
        <w:trPr>
          <w:trHeight w:hRule="auto" w:val="0"/>
          <w:tblHeader/>
          <w:jc w:val="center"/>
        </w:trPr>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05F509BC">
            <w:pPr>
              <w:snapToGrid w:val="0"/>
              <w:jc w:val="center"/>
              <w:rPr>
                <w:rFonts w:ascii="宋体" w:eastAsia="宋体" w:hAnsi="宋体" w:cs="宋体" w:hint="eastAsia"/>
              </w:rPr>
            </w:pPr>
            <w:r>
              <w:rPr>
                <w:rFonts w:ascii="宋体" w:eastAsia="宋体" w:hAnsi="宋体" w:cs="宋体" w:hint="eastAsia"/>
              </w:rPr>
              <w:t>信息传递方式</w:t>
            </w:r>
          </w:p>
        </w:tc>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50E0D5E7">
            <w:pPr>
              <w:snapToGrid w:val="0"/>
              <w:jc w:val="center"/>
              <w:rPr>
                <w:rFonts w:ascii="宋体" w:eastAsia="宋体" w:hAnsi="宋体" w:cs="宋体" w:hint="eastAsia"/>
              </w:rPr>
            </w:pPr>
            <w:r>
              <w:rPr>
                <w:rFonts w:ascii="宋体" w:eastAsia="宋体" w:hAnsi="宋体" w:cs="宋体" w:hint="eastAsia"/>
              </w:rPr>
              <w:t>图纸互提、线下沟通</w:t>
            </w:r>
          </w:p>
        </w:tc>
        <w:tc>
          <w:tcPr>
            <w:tcW w:w="3408" w:type="dxa"/>
            <w:tcBorders>
              <w:top w:val="single" w:sz="4" w:space="0" w:color="000000"/>
              <w:left w:val="nil"/>
              <w:bottom w:val="nil"/>
              <w:right w:val="nil"/>
            </w:tcBorders>
            <w:noWrap w:val="0"/>
            <w:tcMar>
              <w:top w:w="-1" w:type="dxa"/>
              <w:left w:w="-1" w:type="dxa"/>
              <w:bottom w:w="-1" w:type="dxa"/>
              <w:right w:w="-1" w:type="dxa"/>
            </w:tcMar>
            <w:vAlign w:val="center"/>
          </w:tcPr>
          <w:p w14:paraId="2D5998A2">
            <w:pPr>
              <w:snapToGrid w:val="0"/>
              <w:jc w:val="center"/>
              <w:rPr>
                <w:rFonts w:ascii="宋体" w:eastAsia="宋体" w:hAnsi="宋体" w:cs="宋体" w:hint="eastAsia"/>
              </w:rPr>
            </w:pPr>
            <w:r>
              <w:rPr>
                <w:rFonts w:ascii="宋体" w:eastAsia="宋体" w:hAnsi="宋体" w:cs="宋体" w:hint="eastAsia"/>
              </w:rPr>
              <w:t>模型共享、平台实时同步</w:t>
            </w:r>
          </w:p>
        </w:tc>
      </w:tr>
      <w:tr w14:paraId="0244DF7F">
        <w:tblPrEx>
          <w:tblW w:w="8519" w:type="dxa"/>
          <w:jc w:val="center"/>
          <w:tblCellMar>
            <w:left w:w="108" w:type="dxa"/>
            <w:right w:w="108" w:type="dxa"/>
          </w:tblCellMar>
        </w:tblPrEx>
        <w:trPr>
          <w:trHeight w:hRule="auto" w:val="0"/>
          <w:tblHeader/>
          <w:jc w:val="center"/>
        </w:trPr>
        <w:tc>
          <w:tcPr>
            <w:tcW w:w="0" w:type="auto"/>
            <w:tcBorders>
              <w:top w:val="nil"/>
              <w:left w:val="nil"/>
              <w:bottom w:val="nil"/>
              <w:right w:val="nil"/>
            </w:tcBorders>
            <w:noWrap w:val="0"/>
            <w:tcMar>
              <w:top w:w="-1" w:type="dxa"/>
              <w:left w:w="-1" w:type="dxa"/>
              <w:bottom w:w="-1" w:type="dxa"/>
              <w:right w:w="-1" w:type="dxa"/>
            </w:tcMar>
            <w:vAlign w:val="center"/>
          </w:tcPr>
          <w:p w14:paraId="397718B4">
            <w:pPr>
              <w:snapToGrid w:val="0"/>
              <w:jc w:val="center"/>
              <w:rPr>
                <w:rFonts w:ascii="宋体" w:eastAsia="宋体" w:hAnsi="宋体" w:cs="宋体" w:hint="eastAsia"/>
              </w:rPr>
            </w:pPr>
            <w:r>
              <w:rPr>
                <w:rFonts w:ascii="宋体" w:eastAsia="宋体" w:hAnsi="宋体" w:cs="宋体" w:hint="eastAsia"/>
              </w:rPr>
              <w:t>专业工作模式</w:t>
            </w:r>
          </w:p>
        </w:tc>
        <w:tc>
          <w:tcPr>
            <w:tcW w:w="0" w:type="auto"/>
            <w:tcBorders>
              <w:top w:val="nil"/>
              <w:left w:val="nil"/>
              <w:bottom w:val="nil"/>
              <w:right w:val="nil"/>
            </w:tcBorders>
            <w:noWrap w:val="0"/>
            <w:tcMar>
              <w:top w:w="-1" w:type="dxa"/>
              <w:left w:w="-1" w:type="dxa"/>
              <w:bottom w:w="-1" w:type="dxa"/>
              <w:right w:w="-1" w:type="dxa"/>
            </w:tcMar>
            <w:vAlign w:val="center"/>
          </w:tcPr>
          <w:p w14:paraId="66C89469">
            <w:pPr>
              <w:snapToGrid w:val="0"/>
              <w:jc w:val="center"/>
              <w:rPr>
                <w:rFonts w:ascii="宋体" w:eastAsia="宋体" w:hAnsi="宋体" w:cs="宋体" w:hint="eastAsia"/>
              </w:rPr>
            </w:pPr>
            <w:r>
              <w:rPr>
                <w:rFonts w:ascii="宋体" w:eastAsia="宋体" w:hAnsi="宋体" w:cs="宋体" w:hint="eastAsia"/>
              </w:rPr>
              <w:t>串行设计，依次推进</w:t>
            </w:r>
          </w:p>
        </w:tc>
        <w:tc>
          <w:tcPr>
            <w:tcW w:w="3408" w:type="dxa"/>
            <w:tcBorders>
              <w:top w:val="nil"/>
              <w:left w:val="nil"/>
              <w:bottom w:val="nil"/>
              <w:right w:val="nil"/>
            </w:tcBorders>
            <w:noWrap w:val="0"/>
            <w:tcMar>
              <w:top w:w="-1" w:type="dxa"/>
              <w:left w:w="-1" w:type="dxa"/>
              <w:bottom w:w="-1" w:type="dxa"/>
              <w:right w:w="-1" w:type="dxa"/>
            </w:tcMar>
            <w:vAlign w:val="center"/>
          </w:tcPr>
          <w:p w14:paraId="439A1102">
            <w:pPr>
              <w:snapToGrid w:val="0"/>
              <w:jc w:val="center"/>
              <w:rPr>
                <w:rFonts w:ascii="宋体" w:eastAsia="宋体" w:hAnsi="宋体" w:cs="宋体" w:hint="eastAsia"/>
              </w:rPr>
            </w:pPr>
            <w:r>
              <w:rPr>
                <w:rFonts w:ascii="宋体" w:eastAsia="宋体" w:hAnsi="宋体" w:cs="宋体" w:hint="eastAsia"/>
              </w:rPr>
              <w:t>并行设计，同步开展</w:t>
            </w:r>
          </w:p>
        </w:tc>
      </w:tr>
      <w:tr w14:paraId="79432782">
        <w:tblPrEx>
          <w:tblW w:w="8519" w:type="dxa"/>
          <w:jc w:val="center"/>
          <w:tblCellMar>
            <w:left w:w="108" w:type="dxa"/>
            <w:right w:w="108" w:type="dxa"/>
          </w:tblCellMar>
        </w:tblPrEx>
        <w:trPr>
          <w:trHeight w:hRule="auto" w:val="0"/>
          <w:tblHeader/>
          <w:jc w:val="center"/>
        </w:trPr>
        <w:tc>
          <w:tcPr>
            <w:tcW w:w="0" w:type="auto"/>
            <w:tcBorders>
              <w:top w:val="nil"/>
              <w:left w:val="nil"/>
              <w:bottom w:val="nil"/>
              <w:right w:val="nil"/>
            </w:tcBorders>
            <w:noWrap w:val="0"/>
            <w:tcMar>
              <w:top w:w="-1" w:type="dxa"/>
              <w:left w:w="-1" w:type="dxa"/>
              <w:bottom w:w="-1" w:type="dxa"/>
              <w:right w:w="-1" w:type="dxa"/>
            </w:tcMar>
            <w:vAlign w:val="center"/>
          </w:tcPr>
          <w:p w14:paraId="1B1DDE45">
            <w:pPr>
              <w:snapToGrid w:val="0"/>
              <w:jc w:val="center"/>
              <w:rPr>
                <w:rFonts w:ascii="宋体" w:eastAsia="宋体" w:hAnsi="宋体" w:cs="宋体" w:hint="eastAsia"/>
              </w:rPr>
            </w:pPr>
            <w:r>
              <w:rPr>
                <w:rFonts w:ascii="宋体" w:eastAsia="宋体" w:hAnsi="宋体" w:cs="宋体" w:hint="eastAsia"/>
              </w:rPr>
              <w:t>变更响应周期</w:t>
            </w:r>
          </w:p>
        </w:tc>
        <w:tc>
          <w:tcPr>
            <w:tcW w:w="0" w:type="auto"/>
            <w:tcBorders>
              <w:top w:val="nil"/>
              <w:left w:val="nil"/>
              <w:bottom w:val="nil"/>
              <w:right w:val="nil"/>
            </w:tcBorders>
            <w:noWrap w:val="0"/>
            <w:tcMar>
              <w:top w:w="-1" w:type="dxa"/>
              <w:left w:w="-1" w:type="dxa"/>
              <w:bottom w:w="-1" w:type="dxa"/>
              <w:right w:w="-1" w:type="dxa"/>
            </w:tcMar>
            <w:vAlign w:val="center"/>
          </w:tcPr>
          <w:p w14:paraId="3DA8452C">
            <w:pPr>
              <w:snapToGrid w:val="0"/>
              <w:jc w:val="center"/>
              <w:rPr>
                <w:rFonts w:ascii="宋体" w:eastAsia="宋体" w:hAnsi="宋体" w:cs="宋体" w:hint="eastAsia"/>
              </w:rPr>
            </w:pPr>
            <w:r>
              <w:rPr>
                <w:rFonts w:ascii="宋体" w:eastAsia="宋体" w:hAnsi="宋体" w:cs="宋体" w:hint="eastAsia"/>
              </w:rPr>
              <w:t>3-7天（需重新提资、改图）</w:t>
            </w:r>
          </w:p>
        </w:tc>
        <w:tc>
          <w:tcPr>
            <w:tcW w:w="3408" w:type="dxa"/>
            <w:tcBorders>
              <w:top w:val="nil"/>
              <w:left w:val="nil"/>
              <w:bottom w:val="nil"/>
              <w:right w:val="nil"/>
            </w:tcBorders>
            <w:noWrap w:val="0"/>
            <w:tcMar>
              <w:top w:w="-1" w:type="dxa"/>
              <w:left w:w="-1" w:type="dxa"/>
              <w:bottom w:w="-1" w:type="dxa"/>
              <w:right w:w="-1" w:type="dxa"/>
            </w:tcMar>
            <w:vAlign w:val="center"/>
          </w:tcPr>
          <w:p w14:paraId="72F0E5B0">
            <w:pPr>
              <w:snapToGrid w:val="0"/>
              <w:jc w:val="center"/>
              <w:rPr>
                <w:rFonts w:ascii="宋体" w:eastAsia="宋体" w:hAnsi="宋体" w:cs="宋体" w:hint="eastAsia"/>
              </w:rPr>
            </w:pPr>
            <w:r>
              <w:rPr>
                <w:rFonts w:ascii="宋体" w:eastAsia="宋体" w:hAnsi="宋体" w:cs="宋体" w:hint="eastAsia"/>
              </w:rPr>
              <w:t>实时同步，关联专业自动更新</w:t>
            </w:r>
          </w:p>
        </w:tc>
      </w:tr>
      <w:tr w14:paraId="542C097A">
        <w:tblPrEx>
          <w:tblW w:w="8519" w:type="dxa"/>
          <w:jc w:val="center"/>
          <w:tblCellMar>
            <w:left w:w="108" w:type="dxa"/>
            <w:right w:w="108" w:type="dxa"/>
          </w:tblCellMar>
        </w:tblPrEx>
        <w:trPr>
          <w:trHeight w:hRule="auto" w:val="0"/>
          <w:tblHeader/>
          <w:jc w:val="center"/>
        </w:trPr>
        <w:tc>
          <w:tcPr>
            <w:tcW w:w="0" w:type="auto"/>
            <w:tcBorders>
              <w:top w:val="nil"/>
              <w:left w:val="nil"/>
              <w:bottom w:val="nil"/>
              <w:right w:val="nil"/>
            </w:tcBorders>
            <w:noWrap w:val="0"/>
            <w:tcMar>
              <w:top w:w="-1" w:type="dxa"/>
              <w:left w:w="-1" w:type="dxa"/>
              <w:bottom w:w="-1" w:type="dxa"/>
              <w:right w:w="-1" w:type="dxa"/>
            </w:tcMar>
            <w:vAlign w:val="center"/>
          </w:tcPr>
          <w:p w14:paraId="4902FD14">
            <w:pPr>
              <w:snapToGrid w:val="0"/>
              <w:jc w:val="center"/>
              <w:rPr>
                <w:rFonts w:ascii="宋体" w:eastAsia="宋体" w:hAnsi="宋体" w:cs="宋体" w:hint="eastAsia"/>
              </w:rPr>
            </w:pPr>
            <w:r>
              <w:rPr>
                <w:rFonts w:ascii="宋体" w:eastAsia="宋体" w:hAnsi="宋体" w:cs="宋体" w:hint="eastAsia"/>
              </w:rPr>
              <w:t>跨专业错误率</w:t>
            </w:r>
          </w:p>
        </w:tc>
        <w:tc>
          <w:tcPr>
            <w:tcW w:w="0" w:type="auto"/>
            <w:tcBorders>
              <w:top w:val="nil"/>
              <w:left w:val="nil"/>
              <w:bottom w:val="nil"/>
              <w:right w:val="nil"/>
            </w:tcBorders>
            <w:noWrap w:val="0"/>
            <w:tcMar>
              <w:top w:w="-1" w:type="dxa"/>
              <w:left w:w="-1" w:type="dxa"/>
              <w:bottom w:w="-1" w:type="dxa"/>
              <w:right w:w="-1" w:type="dxa"/>
            </w:tcMar>
            <w:vAlign w:val="center"/>
          </w:tcPr>
          <w:p w14:paraId="716C7AF0">
            <w:pPr>
              <w:snapToGrid w:val="0"/>
              <w:jc w:val="center"/>
              <w:rPr>
                <w:rFonts w:ascii="宋体" w:eastAsia="宋体" w:hAnsi="宋体" w:cs="宋体" w:hint="eastAsia"/>
              </w:rPr>
            </w:pPr>
            <w:r>
              <w:rPr>
                <w:rFonts w:ascii="宋体" w:eastAsia="宋体" w:hAnsi="宋体" w:cs="宋体" w:hint="eastAsia"/>
              </w:rPr>
              <w:t>较高（多出现于接口与空间碰撞）</w:t>
            </w:r>
          </w:p>
        </w:tc>
        <w:tc>
          <w:tcPr>
            <w:tcW w:w="3408" w:type="dxa"/>
            <w:tcBorders>
              <w:top w:val="nil"/>
              <w:left w:val="nil"/>
              <w:bottom w:val="nil"/>
              <w:right w:val="nil"/>
            </w:tcBorders>
            <w:noWrap w:val="0"/>
            <w:tcMar>
              <w:top w:w="-1" w:type="dxa"/>
              <w:left w:w="-1" w:type="dxa"/>
              <w:bottom w:w="-1" w:type="dxa"/>
              <w:right w:w="-1" w:type="dxa"/>
            </w:tcMar>
            <w:vAlign w:val="center"/>
          </w:tcPr>
          <w:p w14:paraId="475972C3">
            <w:pPr>
              <w:snapToGrid w:val="0"/>
              <w:jc w:val="center"/>
              <w:rPr>
                <w:rFonts w:ascii="宋体" w:eastAsia="宋体" w:hAnsi="宋体" w:cs="宋体" w:hint="eastAsia"/>
              </w:rPr>
            </w:pPr>
            <w:r>
              <w:rPr>
                <w:rFonts w:ascii="宋体" w:eastAsia="宋体" w:hAnsi="宋体" w:cs="宋体" w:hint="eastAsia"/>
              </w:rPr>
              <w:t>较低（提前碰撞检查与参数校验）</w:t>
            </w:r>
          </w:p>
        </w:tc>
      </w:tr>
      <w:tr w14:paraId="23C24A18">
        <w:tblPrEx>
          <w:tblW w:w="8519" w:type="dxa"/>
          <w:jc w:val="center"/>
          <w:tblCellMar>
            <w:left w:w="108" w:type="dxa"/>
            <w:right w:w="108" w:type="dxa"/>
          </w:tblCellMar>
        </w:tblPrEx>
        <w:trPr>
          <w:trHeight w:hRule="auto" w:val="0"/>
          <w:tblHeader/>
          <w:jc w:val="center"/>
        </w:trPr>
        <w:tc>
          <w:tcPr>
            <w:tcW w:w="1704" w:type="dxa"/>
            <w:tcBorders>
              <w:top w:val="nil"/>
              <w:left w:val="nil"/>
              <w:bottom w:val="single" w:sz="12" w:space="0" w:color="000000"/>
              <w:right w:val="nil"/>
            </w:tcBorders>
            <w:noWrap w:val="0"/>
            <w:tcMar>
              <w:top w:w="-1" w:type="dxa"/>
              <w:left w:w="-1" w:type="dxa"/>
              <w:bottom w:w="-1" w:type="dxa"/>
              <w:right w:w="-1" w:type="dxa"/>
            </w:tcMar>
            <w:vAlign w:val="center"/>
          </w:tcPr>
          <w:p w14:paraId="28FDB25C">
            <w:pPr>
              <w:snapToGrid w:val="0"/>
              <w:jc w:val="center"/>
              <w:rPr>
                <w:rFonts w:ascii="宋体" w:eastAsia="宋体" w:hAnsi="宋体" w:cs="宋体" w:hint="eastAsia"/>
              </w:rPr>
            </w:pPr>
            <w:r>
              <w:rPr>
                <w:rFonts w:ascii="宋体" w:eastAsia="宋体" w:hAnsi="宋体" w:cs="宋体" w:hint="eastAsia"/>
              </w:rPr>
              <w:t>图纸版本一致性</w:t>
            </w:r>
          </w:p>
        </w:tc>
        <w:tc>
          <w:tcPr>
            <w:tcW w:w="3407" w:type="dxa"/>
            <w:tcBorders>
              <w:top w:val="nil"/>
              <w:left w:val="nil"/>
              <w:bottom w:val="single" w:sz="12" w:space="0" w:color="000000"/>
              <w:right w:val="nil"/>
            </w:tcBorders>
            <w:noWrap w:val="0"/>
            <w:tcMar>
              <w:top w:w="-1" w:type="dxa"/>
              <w:left w:w="-1" w:type="dxa"/>
              <w:bottom w:w="-1" w:type="dxa"/>
              <w:right w:w="-1" w:type="dxa"/>
            </w:tcMar>
            <w:vAlign w:val="center"/>
          </w:tcPr>
          <w:p w14:paraId="6EC9714A">
            <w:pPr>
              <w:snapToGrid w:val="0"/>
              <w:jc w:val="center"/>
              <w:rPr>
                <w:rFonts w:ascii="宋体" w:eastAsia="宋体" w:hAnsi="宋体" w:cs="宋体" w:hint="eastAsia"/>
              </w:rPr>
            </w:pPr>
            <w:r>
              <w:rPr>
                <w:rFonts w:ascii="宋体" w:eastAsia="宋体" w:hAnsi="宋体" w:cs="宋体" w:hint="eastAsia"/>
              </w:rPr>
              <w:t>易出现版本混乱与错图</w:t>
            </w:r>
          </w:p>
        </w:tc>
        <w:tc>
          <w:tcPr>
            <w:tcW w:w="3408" w:type="dxa"/>
            <w:tcBorders>
              <w:top w:val="nil"/>
              <w:left w:val="nil"/>
              <w:bottom w:val="single" w:sz="12" w:space="0" w:color="000000"/>
              <w:right w:val="nil"/>
            </w:tcBorders>
            <w:noWrap w:val="0"/>
            <w:tcMar>
              <w:top w:w="-1" w:type="dxa"/>
              <w:left w:w="-1" w:type="dxa"/>
              <w:bottom w:w="-1" w:type="dxa"/>
              <w:right w:w="-1" w:type="dxa"/>
            </w:tcMar>
            <w:vAlign w:val="center"/>
          </w:tcPr>
          <w:p w14:paraId="0AAEE38B">
            <w:pPr>
              <w:snapToGrid w:val="0"/>
              <w:jc w:val="center"/>
              <w:rPr>
                <w:rFonts w:ascii="宋体" w:eastAsia="宋体" w:hAnsi="宋体" w:cs="宋体" w:hint="eastAsia"/>
              </w:rPr>
            </w:pPr>
            <w:r>
              <w:rPr>
                <w:rFonts w:ascii="宋体" w:eastAsia="宋体" w:hAnsi="宋体" w:cs="宋体" w:hint="eastAsia"/>
              </w:rPr>
              <w:t>图模同源，版本统一可控</w:t>
            </w:r>
          </w:p>
        </w:tc>
      </w:tr>
    </w:tbl>
    <w:p w14:paraId="745C87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2.3空间优化与工程量管控优势</w:t>
      </w:r>
    </w:p>
    <w:p w14:paraId="1270FF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水利水电工程大多分布在峡谷、山区等复杂的地形环境当中，对空间资源的有效利用属于设计上的主要难题之一。在水利水电工程的设计过程中，使用BIM技术以及三维协同设计理念有明显的空间优势</w:t>
      </w:r>
      <w:r>
        <w:rPr>
          <w:rFonts w:ascii="宋体" w:eastAsia="宋体" w:hAnsi="宋体" w:cs="宋体" w:hint="eastAsia"/>
          <w:vertAlign w:val="superscript"/>
        </w:rPr>
        <w:t>[</w:t>
      </w:r>
      <w:r>
        <w:rPr>
          <w:rFonts w:ascii="宋体" w:eastAsia="宋体" w:hAnsi="宋体" w:cs="宋体" w:hint="eastAsia"/>
          <w:vertAlign w:val="superscript"/>
          <w:lang w:val="en-US" w:eastAsia="zh-CN"/>
        </w:rPr>
        <w:t>4</w:t>
      </w:r>
      <w:r>
        <w:rPr>
          <w:rFonts w:ascii="宋体" w:eastAsia="宋体" w:hAnsi="宋体" w:cs="宋体" w:hint="eastAsia"/>
          <w:vertAlign w:val="superscript"/>
        </w:rPr>
        <w:t>]</w:t>
      </w:r>
      <w:r>
        <w:rPr>
          <w:rFonts w:ascii="宋体" w:eastAsia="宋体" w:hAnsi="宋体" w:cs="宋体" w:hint="eastAsia"/>
        </w:rPr>
        <w:t>。传统的二维设计依靠平、立、剖面图来表现空间关系，对于复杂的洞室群、管线系统、机电设备布置等，很难准确地表现出来，容易出现管线碰撞、构筑物空间干涉等问题，在施工阶段才发现，造成工期延误和成本增加。三维协同设计可以创建完整的工程空间模型，利用自动碰撞检查功能，很快就能发现各个专业的构件之间存在空间上的冲突，设计阶段就可以完成空间优化，大大减少了施工阶段的设计变更。工程量控制在三维协同设计中也有明显的优势。传统的工程量计算是依靠人工从图纸上摘取数据完成的，工作量大，容易出现计算错误，尤其对复杂的曲面坝体、异形结构等进行工程量计算时，精度很难保证。三维模型包含了所有的构件几何和属性信息，可以自动得到混凝土方量、钢筋用量、土石方量等工程量数据，计算结果准确而且效率高。设计人员可以按照需要对工程量进行分部位、分阶段的统计，给投资控制和施工组织设计提供更加详细的资料。</w:t>
      </w:r>
    </w:p>
    <w:p w14:paraId="46FA28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3</w:t>
      </w:r>
      <w:r>
        <w:rPr>
          <w:rFonts w:ascii="宋体" w:eastAsia="宋体" w:hAnsi="宋体" w:cs="宋体" w:hint="eastAsia"/>
        </w:rPr>
        <w:t>水利水电工程设计中三维协同设计的落地应用路径</w:t>
      </w:r>
    </w:p>
    <w:p w14:paraId="6054BD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3.1基于统一平台的协同设计体系构建</w:t>
      </w:r>
    </w:p>
    <w:p w14:paraId="3EBED7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维协同设计的落实首先要建立适合水利行业特点的统一技术平台和工作制度。目前主流的三维设计软件各有侧重，单一软件不能满足水利水电全专业设计的需求，需要依靠平台集成来实现不同软件之间的数据互通和协同工作，主</w:t>
      </w:r>
      <w:r>
        <w:rPr>
          <w:rFonts w:ascii="宋体" w:eastAsia="宋体" w:hAnsi="宋体" w:cs="宋体" w:hint="eastAsia"/>
          <w:lang w:eastAsia="zh-CN"/>
        </w:rPr>
        <w:t>流</w:t>
      </w:r>
      <w:r>
        <w:rPr>
          <w:rFonts w:ascii="宋体" w:eastAsia="宋体" w:hAnsi="宋体" w:cs="宋体" w:hint="eastAsia"/>
        </w:rPr>
        <w:t>三维协同设计软件的水利工程功能适配如图</w:t>
      </w:r>
      <w:r>
        <w:rPr>
          <w:rFonts w:ascii="宋体" w:eastAsia="宋体" w:hAnsi="宋体" w:cs="宋体" w:hint="eastAsia"/>
          <w:lang w:val="en-US" w:eastAsia="zh-CN"/>
        </w:rPr>
        <w:t>2所示。在</w:t>
      </w:r>
      <w:r>
        <w:rPr>
          <w:rFonts w:ascii="宋体" w:eastAsia="宋体" w:hAnsi="宋体" w:cs="宋体" w:hint="eastAsia"/>
        </w:rPr>
        <w:t>实际项目中要根据工程规模、专业特点和团队技术基础来选择合适的软件组合和协同架构，确定各个专业的工作范围、交付标准和数据交互节点。平台搭建之后还要创建相应的协同工作制度。按照项目组织结构划分出设计人员及权限，确定各个专业的工作范围、交付标准和数据交换点；制定统一的建模标准和命名规则，保证各个专业模型可以准确地拼接起来并集成起来；设立专门的协同管理员，对平台进行维护、版本管理以及冲突协调工作，保证协同设计工作有条不紊地进行。大型水利工程要创建分级协同架构，统筹总体设计单位和分项设计单位的协作，达成跨地域、跨单位的协同设计。</w:t>
      </w:r>
    </w:p>
    <w:p w14:paraId="6D1971FA">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rPr>
          <w:rFonts w:ascii="宋体" w:eastAsia="宋体" w:hAnsi="宋体" w:cs="宋体" w:hint="eastAsia"/>
        </w:rPr>
        <w:t>表2主流三维协同设计软件的水利工程功能适配</w:t>
      </w:r>
    </w:p>
    <w:tbl>
      <w:tblPr>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
      <w:tblGrid>
        <w:gridCol w:w="1476"/>
        <w:gridCol w:w="2271"/>
        <w:gridCol w:w="1556"/>
        <w:gridCol w:w="3216"/>
      </w:tblGrid>
      <w:tr w14:paraId="274622EA">
        <w:tblPrEx>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left w:w="108" w:type="dxa"/>
            <w:right w:w="108" w:type="dxa"/>
          </w:tblCellMar>
        </w:tblPrEx>
        <w:trPr>
          <w:trHeight w:hRule="auto" w:val="0"/>
          <w:tblHeader/>
          <w:jc w:val="center"/>
        </w:trPr>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0C8D2509">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软件名称</w:t>
            </w:r>
          </w:p>
        </w:tc>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163F32F6">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核心定位</w:t>
            </w:r>
          </w:p>
        </w:tc>
        <w:tc>
          <w:tcPr>
            <w:tcW w:w="0" w:type="auto"/>
            <w:tcBorders>
              <w:top w:val="single" w:sz="12" w:space="0" w:color="000000"/>
              <w:left w:val="nil"/>
              <w:bottom w:val="nil"/>
              <w:right w:val="nil"/>
            </w:tcBorders>
            <w:noWrap w:val="0"/>
            <w:tcMar>
              <w:top w:w="-1" w:type="dxa"/>
              <w:left w:w="-1" w:type="dxa"/>
              <w:bottom w:w="-1" w:type="dxa"/>
              <w:right w:w="-1" w:type="dxa"/>
            </w:tcMar>
            <w:vAlign w:val="center"/>
          </w:tcPr>
          <w:p w14:paraId="07F94D5D">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适配专业</w:t>
            </w:r>
          </w:p>
        </w:tc>
        <w:tc>
          <w:tcPr>
            <w:tcW w:w="3293" w:type="dxa"/>
            <w:tcBorders>
              <w:top w:val="single" w:sz="12" w:space="0" w:color="000000"/>
              <w:left w:val="nil"/>
              <w:bottom w:val="nil"/>
              <w:right w:val="nil"/>
            </w:tcBorders>
            <w:noWrap w:val="0"/>
            <w:tcMar>
              <w:top w:w="-1" w:type="dxa"/>
              <w:left w:w="-1" w:type="dxa"/>
              <w:bottom w:w="-1" w:type="dxa"/>
              <w:right w:w="-1" w:type="dxa"/>
            </w:tcMar>
            <w:vAlign w:val="center"/>
          </w:tcPr>
          <w:p w14:paraId="5992B2A3">
            <w:pPr>
              <w:snapToGrid w:val="0"/>
              <w:ind w:left="0" w:right="0" w:firstLine="0" w:leftChars="0" w:rightChars="0" w:firstLineChars="0"/>
              <w:jc w:val="center"/>
              <w:rPr>
                <w:rFonts w:ascii="宋体" w:eastAsia="宋体" w:hAnsi="宋体" w:cs="宋体" w:hint="eastAsia"/>
                <w:b/>
                <w:sz w:val="21"/>
                <w:szCs w:val="21"/>
              </w:rPr>
            </w:pPr>
            <w:r>
              <w:rPr>
                <w:rFonts w:ascii="宋体" w:eastAsia="宋体" w:hAnsi="宋体" w:cs="宋体" w:hint="eastAsia"/>
                <w:b/>
                <w:sz w:val="21"/>
                <w:szCs w:val="21"/>
              </w:rPr>
              <w:t>典型应用场景</w:t>
            </w:r>
          </w:p>
        </w:tc>
      </w:tr>
      <w:tr w14:paraId="07E5F38B">
        <w:tblPrEx>
          <w:tblW w:w="8519" w:type="dxa"/>
          <w:jc w:val="center"/>
          <w:tblCellMar>
            <w:left w:w="108" w:type="dxa"/>
            <w:right w:w="108" w:type="dxa"/>
          </w:tblCellMar>
        </w:tblPrEx>
        <w:trPr>
          <w:trHeight w:hRule="auto" w:val="0"/>
          <w:jc w:val="center"/>
        </w:trPr>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1BCF355D">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Civi13D</w:t>
            </w:r>
          </w:p>
        </w:tc>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1C458000">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地形地质与土方工程设计</w:t>
            </w:r>
          </w:p>
        </w:tc>
        <w:tc>
          <w:tcPr>
            <w:tcW w:w="0" w:type="auto"/>
            <w:tcBorders>
              <w:top w:val="single" w:sz="4" w:space="0" w:color="000000"/>
              <w:left w:val="nil"/>
              <w:bottom w:val="nil"/>
              <w:right w:val="nil"/>
            </w:tcBorders>
            <w:noWrap w:val="0"/>
            <w:tcMar>
              <w:top w:w="-1" w:type="dxa"/>
              <w:left w:w="-1" w:type="dxa"/>
              <w:bottom w:w="-1" w:type="dxa"/>
              <w:right w:w="-1" w:type="dxa"/>
            </w:tcMar>
            <w:vAlign w:val="center"/>
          </w:tcPr>
          <w:p w14:paraId="26B49921">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地质、施工</w:t>
            </w:r>
          </w:p>
        </w:tc>
        <w:tc>
          <w:tcPr>
            <w:tcW w:w="3293" w:type="dxa"/>
            <w:tcBorders>
              <w:top w:val="single" w:sz="4" w:space="0" w:color="000000"/>
              <w:left w:val="nil"/>
              <w:bottom w:val="nil"/>
              <w:right w:val="nil"/>
            </w:tcBorders>
            <w:noWrap w:val="0"/>
            <w:tcMar>
              <w:top w:w="-1" w:type="dxa"/>
              <w:left w:w="-1" w:type="dxa"/>
              <w:bottom w:w="-1" w:type="dxa"/>
              <w:right w:w="-1" w:type="dxa"/>
            </w:tcMar>
            <w:vAlign w:val="center"/>
          </w:tcPr>
          <w:p w14:paraId="6333EAA6">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三维地质建模、地形分析、土方计算</w:t>
            </w:r>
          </w:p>
        </w:tc>
      </w:tr>
      <w:tr w14:paraId="7D0C5B00">
        <w:tblPrEx>
          <w:tblW w:w="8519" w:type="dxa"/>
          <w:jc w:val="center"/>
          <w:tblCellMar>
            <w:left w:w="108" w:type="dxa"/>
            <w:right w:w="108" w:type="dxa"/>
          </w:tblCellMar>
        </w:tblPrEx>
        <w:trPr>
          <w:trHeight w:hRule="auto" w:val="0"/>
          <w:jc w:val="center"/>
        </w:trPr>
        <w:tc>
          <w:tcPr>
            <w:tcW w:w="0" w:type="auto"/>
            <w:tcBorders>
              <w:top w:val="nil"/>
              <w:left w:val="nil"/>
              <w:bottom w:val="nil"/>
              <w:right w:val="nil"/>
            </w:tcBorders>
            <w:noWrap w:val="0"/>
            <w:tcMar>
              <w:top w:w="-1" w:type="dxa"/>
              <w:left w:w="-1" w:type="dxa"/>
              <w:bottom w:w="-1" w:type="dxa"/>
              <w:right w:w="-1" w:type="dxa"/>
            </w:tcMar>
            <w:vAlign w:val="center"/>
          </w:tcPr>
          <w:p w14:paraId="0D8EBA5B">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MicroStation</w:t>
            </w:r>
          </w:p>
        </w:tc>
        <w:tc>
          <w:tcPr>
            <w:tcW w:w="0" w:type="auto"/>
            <w:tcBorders>
              <w:top w:val="nil"/>
              <w:left w:val="nil"/>
              <w:bottom w:val="nil"/>
              <w:right w:val="nil"/>
            </w:tcBorders>
            <w:noWrap w:val="0"/>
            <w:tcMar>
              <w:top w:w="-1" w:type="dxa"/>
              <w:left w:w="-1" w:type="dxa"/>
              <w:bottom w:w="-1" w:type="dxa"/>
              <w:right w:w="-1" w:type="dxa"/>
            </w:tcMar>
            <w:vAlign w:val="center"/>
          </w:tcPr>
          <w:p w14:paraId="0D0A755E">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通用三维协同设计平台</w:t>
            </w:r>
          </w:p>
        </w:tc>
        <w:tc>
          <w:tcPr>
            <w:tcW w:w="0" w:type="auto"/>
            <w:tcBorders>
              <w:top w:val="nil"/>
              <w:left w:val="nil"/>
              <w:bottom w:val="nil"/>
              <w:right w:val="nil"/>
            </w:tcBorders>
            <w:noWrap w:val="0"/>
            <w:tcMar>
              <w:top w:w="-1" w:type="dxa"/>
              <w:left w:w="-1" w:type="dxa"/>
              <w:bottom w:w="-1" w:type="dxa"/>
              <w:right w:w="-1" w:type="dxa"/>
            </w:tcMar>
            <w:vAlign w:val="center"/>
          </w:tcPr>
          <w:p w14:paraId="31D61328">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水工、金结</w:t>
            </w:r>
          </w:p>
        </w:tc>
        <w:tc>
          <w:tcPr>
            <w:tcW w:w="3293" w:type="dxa"/>
            <w:tcBorders>
              <w:top w:val="nil"/>
              <w:left w:val="nil"/>
              <w:bottom w:val="nil"/>
              <w:right w:val="nil"/>
            </w:tcBorders>
            <w:noWrap w:val="0"/>
            <w:tcMar>
              <w:top w:w="-1" w:type="dxa"/>
              <w:left w:w="-1" w:type="dxa"/>
              <w:bottom w:w="-1" w:type="dxa"/>
              <w:right w:w="-1" w:type="dxa"/>
            </w:tcMar>
            <w:vAlign w:val="center"/>
          </w:tcPr>
          <w:p w14:paraId="7A4C13EA">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水工建筑物建模、多专业协同管理</w:t>
            </w:r>
          </w:p>
        </w:tc>
      </w:tr>
      <w:tr w14:paraId="5CC51C1F">
        <w:tblPrEx>
          <w:tblW w:w="8519" w:type="dxa"/>
          <w:jc w:val="center"/>
          <w:tblCellMar>
            <w:left w:w="108" w:type="dxa"/>
            <w:right w:w="108" w:type="dxa"/>
          </w:tblCellMar>
        </w:tblPrEx>
        <w:trPr>
          <w:trHeight w:hRule="auto" w:val="0"/>
          <w:jc w:val="center"/>
        </w:trPr>
        <w:tc>
          <w:tcPr>
            <w:tcW w:w="0" w:type="auto"/>
            <w:tcBorders>
              <w:top w:val="nil"/>
              <w:left w:val="nil"/>
              <w:bottom w:val="nil"/>
              <w:right w:val="nil"/>
            </w:tcBorders>
            <w:noWrap w:val="0"/>
            <w:tcMar>
              <w:top w:w="-1" w:type="dxa"/>
              <w:left w:w="-1" w:type="dxa"/>
              <w:bottom w:w="-1" w:type="dxa"/>
              <w:right w:w="-1" w:type="dxa"/>
            </w:tcMar>
            <w:vAlign w:val="center"/>
          </w:tcPr>
          <w:p w14:paraId="7602D2B4">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Revit</w:t>
            </w:r>
          </w:p>
        </w:tc>
        <w:tc>
          <w:tcPr>
            <w:tcW w:w="0" w:type="auto"/>
            <w:tcBorders>
              <w:top w:val="nil"/>
              <w:left w:val="nil"/>
              <w:bottom w:val="nil"/>
              <w:right w:val="nil"/>
            </w:tcBorders>
            <w:noWrap w:val="0"/>
            <w:tcMar>
              <w:top w:w="-1" w:type="dxa"/>
              <w:left w:w="-1" w:type="dxa"/>
              <w:bottom w:w="-1" w:type="dxa"/>
              <w:right w:w="-1" w:type="dxa"/>
            </w:tcMar>
            <w:vAlign w:val="center"/>
          </w:tcPr>
          <w:p w14:paraId="4CE86C9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建筑与结构参数化设计</w:t>
            </w:r>
          </w:p>
        </w:tc>
        <w:tc>
          <w:tcPr>
            <w:tcW w:w="0" w:type="auto"/>
            <w:tcBorders>
              <w:top w:val="nil"/>
              <w:left w:val="nil"/>
              <w:bottom w:val="nil"/>
              <w:right w:val="nil"/>
            </w:tcBorders>
            <w:noWrap w:val="0"/>
            <w:tcMar>
              <w:top w:w="-1" w:type="dxa"/>
              <w:left w:w="-1" w:type="dxa"/>
              <w:bottom w:w="-1" w:type="dxa"/>
              <w:right w:w="-1" w:type="dxa"/>
            </w:tcMar>
            <w:vAlign w:val="center"/>
          </w:tcPr>
          <w:p w14:paraId="75D549D7">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厂房、建筑</w:t>
            </w:r>
          </w:p>
        </w:tc>
        <w:tc>
          <w:tcPr>
            <w:tcW w:w="3293" w:type="dxa"/>
            <w:tcBorders>
              <w:top w:val="nil"/>
              <w:left w:val="nil"/>
              <w:bottom w:val="nil"/>
              <w:right w:val="nil"/>
            </w:tcBorders>
            <w:noWrap w:val="0"/>
            <w:tcMar>
              <w:top w:w="-1" w:type="dxa"/>
              <w:left w:w="-1" w:type="dxa"/>
              <w:bottom w:w="-1" w:type="dxa"/>
              <w:right w:w="-1" w:type="dxa"/>
            </w:tcMar>
            <w:vAlign w:val="center"/>
          </w:tcPr>
          <w:p w14:paraId="61AADE78">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电站厂房建筑结构设计</w:t>
            </w:r>
          </w:p>
        </w:tc>
      </w:tr>
      <w:tr w14:paraId="19E69CCC">
        <w:tblPrEx>
          <w:tblW w:w="8519" w:type="dxa"/>
          <w:jc w:val="center"/>
          <w:tblCellMar>
            <w:left w:w="108" w:type="dxa"/>
            <w:right w:w="108" w:type="dxa"/>
          </w:tblCellMar>
        </w:tblPrEx>
        <w:trPr>
          <w:trHeight w:hRule="auto" w:val="0"/>
          <w:jc w:val="center"/>
        </w:trPr>
        <w:tc>
          <w:tcPr>
            <w:tcW w:w="0" w:type="auto"/>
            <w:tcBorders>
              <w:top w:val="nil"/>
              <w:left w:val="nil"/>
              <w:bottom w:val="nil"/>
              <w:right w:val="nil"/>
            </w:tcBorders>
            <w:noWrap w:val="0"/>
            <w:tcMar>
              <w:top w:w="-1" w:type="dxa"/>
              <w:left w:w="-1" w:type="dxa"/>
              <w:bottom w:w="-1" w:type="dxa"/>
              <w:right w:w="-1" w:type="dxa"/>
            </w:tcMar>
            <w:vAlign w:val="center"/>
          </w:tcPr>
          <w:p w14:paraId="0E8A3A9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InfraWorks</w:t>
            </w:r>
          </w:p>
        </w:tc>
        <w:tc>
          <w:tcPr>
            <w:tcW w:w="0" w:type="auto"/>
            <w:tcBorders>
              <w:top w:val="nil"/>
              <w:left w:val="nil"/>
              <w:bottom w:val="nil"/>
              <w:right w:val="nil"/>
            </w:tcBorders>
            <w:noWrap w:val="0"/>
            <w:tcMar>
              <w:top w:w="-1" w:type="dxa"/>
              <w:left w:w="-1" w:type="dxa"/>
              <w:bottom w:w="-1" w:type="dxa"/>
              <w:right w:w="-1" w:type="dxa"/>
            </w:tcMar>
            <w:vAlign w:val="center"/>
          </w:tcPr>
          <w:p w14:paraId="432885DC">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宏观场景与方案展示</w:t>
            </w:r>
          </w:p>
        </w:tc>
        <w:tc>
          <w:tcPr>
            <w:tcW w:w="0" w:type="auto"/>
            <w:tcBorders>
              <w:top w:val="nil"/>
              <w:left w:val="nil"/>
              <w:bottom w:val="nil"/>
              <w:right w:val="nil"/>
            </w:tcBorders>
            <w:noWrap w:val="0"/>
            <w:tcMar>
              <w:top w:w="-1" w:type="dxa"/>
              <w:left w:w="-1" w:type="dxa"/>
              <w:bottom w:w="-1" w:type="dxa"/>
              <w:right w:w="-1" w:type="dxa"/>
            </w:tcMar>
            <w:vAlign w:val="center"/>
          </w:tcPr>
          <w:p w14:paraId="7B092CC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规划、整体布置</w:t>
            </w:r>
          </w:p>
        </w:tc>
        <w:tc>
          <w:tcPr>
            <w:tcW w:w="3293" w:type="dxa"/>
            <w:tcBorders>
              <w:top w:val="nil"/>
              <w:left w:val="nil"/>
              <w:bottom w:val="nil"/>
              <w:right w:val="nil"/>
            </w:tcBorders>
            <w:noWrap w:val="0"/>
            <w:tcMar>
              <w:top w:w="-1" w:type="dxa"/>
              <w:left w:w="-1" w:type="dxa"/>
              <w:bottom w:w="-1" w:type="dxa"/>
              <w:right w:w="-1" w:type="dxa"/>
            </w:tcMar>
            <w:vAlign w:val="center"/>
          </w:tcPr>
          <w:p w14:paraId="54AEC819">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工程整体布局展示、施工场地模拟</w:t>
            </w:r>
          </w:p>
        </w:tc>
      </w:tr>
      <w:tr w14:paraId="65CBD5FE">
        <w:tblPrEx>
          <w:tblW w:w="8519" w:type="dxa"/>
          <w:jc w:val="center"/>
          <w:tblCellMar>
            <w:left w:w="108" w:type="dxa"/>
            <w:right w:w="108" w:type="dxa"/>
          </w:tblCellMar>
        </w:tblPrEx>
        <w:trPr>
          <w:trHeight w:hRule="auto" w:val="0"/>
          <w:jc w:val="center"/>
        </w:trPr>
        <w:tc>
          <w:tcPr>
            <w:tcW w:w="1316" w:type="dxa"/>
            <w:tcBorders>
              <w:top w:val="nil"/>
              <w:left w:val="nil"/>
              <w:bottom w:val="single" w:sz="12" w:space="0" w:color="000000"/>
              <w:right w:val="nil"/>
            </w:tcBorders>
            <w:noWrap w:val="0"/>
            <w:tcMar>
              <w:top w:w="-1" w:type="dxa"/>
              <w:left w:w="-1" w:type="dxa"/>
              <w:bottom w:w="-1" w:type="dxa"/>
              <w:right w:w="-1" w:type="dxa"/>
            </w:tcMar>
            <w:vAlign w:val="center"/>
          </w:tcPr>
          <w:p w14:paraId="3956142D">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Inventor</w:t>
            </w:r>
          </w:p>
        </w:tc>
        <w:tc>
          <w:tcPr>
            <w:tcW w:w="2326" w:type="dxa"/>
            <w:tcBorders>
              <w:top w:val="nil"/>
              <w:left w:val="nil"/>
              <w:bottom w:val="single" w:sz="12" w:space="0" w:color="000000"/>
              <w:right w:val="nil"/>
            </w:tcBorders>
            <w:noWrap w:val="0"/>
            <w:tcMar>
              <w:top w:w="-1" w:type="dxa"/>
              <w:left w:w="-1" w:type="dxa"/>
              <w:bottom w:w="-1" w:type="dxa"/>
              <w:right w:w="-1" w:type="dxa"/>
            </w:tcMar>
            <w:vAlign w:val="center"/>
          </w:tcPr>
          <w:p w14:paraId="1AD2D533">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机械与机电设备设计</w:t>
            </w:r>
          </w:p>
        </w:tc>
        <w:tc>
          <w:tcPr>
            <w:tcW w:w="1584" w:type="dxa"/>
            <w:tcBorders>
              <w:top w:val="nil"/>
              <w:left w:val="nil"/>
              <w:bottom w:val="single" w:sz="12" w:space="0" w:color="000000"/>
              <w:right w:val="nil"/>
            </w:tcBorders>
            <w:noWrap w:val="0"/>
            <w:tcMar>
              <w:top w:w="-1" w:type="dxa"/>
              <w:left w:w="-1" w:type="dxa"/>
              <w:bottom w:w="-1" w:type="dxa"/>
              <w:right w:w="-1" w:type="dxa"/>
            </w:tcMar>
            <w:vAlign w:val="center"/>
          </w:tcPr>
          <w:p w14:paraId="5763FBCE">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机电、金结</w:t>
            </w:r>
          </w:p>
        </w:tc>
        <w:tc>
          <w:tcPr>
            <w:tcW w:w="3293" w:type="dxa"/>
            <w:tcBorders>
              <w:top w:val="nil"/>
              <w:left w:val="nil"/>
              <w:bottom w:val="single" w:sz="12" w:space="0" w:color="000000"/>
              <w:right w:val="nil"/>
            </w:tcBorders>
            <w:noWrap w:val="0"/>
            <w:tcMar>
              <w:top w:w="-1" w:type="dxa"/>
              <w:left w:w="-1" w:type="dxa"/>
              <w:bottom w:w="-1" w:type="dxa"/>
              <w:right w:w="-1" w:type="dxa"/>
            </w:tcMar>
            <w:vAlign w:val="center"/>
          </w:tcPr>
          <w:p w14:paraId="4AB21ACE">
            <w:pPr>
              <w:snapToGrid w:val="0"/>
              <w:ind w:left="0" w:right="0" w:firstLine="0" w:leftChars="0" w:rightChars="0" w:firstLineChars="0"/>
              <w:jc w:val="center"/>
              <w:rPr>
                <w:rFonts w:ascii="宋体" w:eastAsia="宋体" w:hAnsi="宋体" w:cs="宋体" w:hint="eastAsia"/>
                <w:sz w:val="21"/>
                <w:szCs w:val="21"/>
              </w:rPr>
            </w:pPr>
            <w:r>
              <w:rPr>
                <w:rFonts w:ascii="宋体" w:eastAsia="宋体" w:hAnsi="宋体" w:cs="宋体" w:hint="eastAsia"/>
                <w:sz w:val="21"/>
                <w:szCs w:val="21"/>
              </w:rPr>
              <w:t>机电设备建模、金属结构设计</w:t>
            </w:r>
          </w:p>
        </w:tc>
      </w:tr>
    </w:tbl>
    <w:p w14:paraId="246C74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3.2水工专业三维协同设计的实操方法</w:t>
      </w:r>
    </w:p>
    <w:p w14:paraId="14C042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水工专业是水利水电工程设计的主干，三维协同设计的深度直接影响到整个应用效果。水工三维协同设计要按照从基础到主体、从整体到细节的技术路线进行，先以地形和地质数据为基础建立工程区域三维地基地质模型，然后用它作为水工建筑物设计的空间基础。地质</w:t>
      </w:r>
      <w:r>
        <w:rPr>
          <w:rFonts w:ascii="宋体" w:eastAsia="宋体" w:hAnsi="宋体" w:cs="宋体" w:hint="eastAsia"/>
          <w:lang w:val="en-US" w:eastAsia="zh-CN"/>
        </w:rPr>
        <w:t>模型要全面</w:t>
      </w:r>
      <w:r>
        <w:rPr>
          <w:rFonts w:ascii="宋体" w:eastAsia="宋体" w:hAnsi="宋体" w:cs="宋体" w:hint="eastAsia"/>
        </w:rPr>
        <w:t>涵盖地层分布、岩性参数、地质构造等内容，图2为地质模型示意图。当地质资料发生改变的时候，水工基础设计可以自动跟着改动。主体结构设计阶段用参数化建模的方法来建立坝体、溢洪道、泄洪洞、电站厂房等主要的水工建筑物，把结构尺寸、材料属性、设计参数等全部包含在模型中</w:t>
      </w:r>
      <w:r>
        <w:rPr>
          <w:rFonts w:ascii="宋体" w:eastAsia="宋体" w:hAnsi="宋体" w:cs="宋体" w:hint="eastAsia"/>
          <w:vertAlign w:val="superscript"/>
        </w:rPr>
        <w:t>[</w:t>
      </w:r>
      <w:r>
        <w:rPr>
          <w:rFonts w:ascii="宋体" w:eastAsia="宋体" w:hAnsi="宋体" w:cs="宋体" w:hint="eastAsia"/>
          <w:vertAlign w:val="superscript"/>
          <w:lang w:val="en-US" w:eastAsia="zh-CN"/>
        </w:rPr>
        <w:t>5</w:t>
      </w:r>
      <w:r>
        <w:rPr>
          <w:rFonts w:ascii="宋体" w:eastAsia="宋体" w:hAnsi="宋体" w:cs="宋体" w:hint="eastAsia"/>
          <w:vertAlign w:val="superscript"/>
        </w:rPr>
        <w:t>]</w:t>
      </w:r>
      <w:r>
        <w:rPr>
          <w:rFonts w:ascii="宋体" w:eastAsia="宋体" w:hAnsi="宋体" w:cs="宋体" w:hint="eastAsia"/>
        </w:rPr>
        <w:t>。参数化模型的优势就是当核心设计参数发生变化的时候，模型会自动联动更新，不会出现传统模式下</w:t>
      </w:r>
      <w:bookmarkStart w:id="0" w:name="_GoBack"/>
      <w:bookmarkEnd w:id="0"/>
      <w:r>
        <w:rPr>
          <w:rFonts w:ascii="宋体" w:eastAsia="宋体" w:hAnsi="宋体" w:cs="宋体" w:hint="eastAsia"/>
        </w:rPr>
        <w:t>反复改图的重复劳动。设计时水工专业要同地质、机电、金结等专业及时交流，获取有关专业设计边界条件，同步调整自身设计方案，从源头上减少专业接口矛盾。另外还要建立三维模型和二维图纸的联动机制，从三维模型直接生成符合行业规范的二维施工图，保证图模数据一致，提高出图效率和图纸质量。</w:t>
      </w:r>
    </w:p>
    <w:p w14:paraId="026C8E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rPr>
      </w:pPr>
      <w:r>
        <w:rPr>
          <w:rFonts w:ascii="宋体" w:eastAsia="宋体" w:hAnsi="宋体" w:cs="宋体" w:hint="eastAsia"/>
        </w:rPr>
        <w:drawing>
          <wp:inline distT="0" distB="0" distL="114300" distR="114300">
            <wp:extent cx="3806190" cy="2449830"/>
            <wp:effectExtent l="0" t="0" r="381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5"/>
                    <a:stretch>
                      <a:fillRect/>
                    </a:stretch>
                  </pic:blipFill>
                  <pic:spPr>
                    <a:xfrm>
                      <a:off x="0" y="0"/>
                      <a:ext cx="3806190" cy="2449830"/>
                    </a:xfrm>
                    <a:prstGeom prst="rect">
                      <a:avLst/>
                    </a:prstGeom>
                    <a:noFill/>
                    <a:ln>
                      <a:noFill/>
                    </a:ln>
                  </pic:spPr>
                </pic:pic>
              </a:graphicData>
            </a:graphic>
          </wp:inline>
        </w:drawing>
      </w:r>
    </w:p>
    <w:p w14:paraId="2D3C3B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default"/>
          <w:sz w:val="21"/>
          <w:szCs w:val="21"/>
          <w:lang w:val="en-US" w:eastAsia="zh-CN"/>
        </w:rPr>
      </w:pPr>
      <w:r>
        <w:rPr>
          <w:rFonts w:ascii="宋体" w:eastAsia="宋体" w:hAnsi="宋体" w:cs="宋体" w:hint="eastAsia"/>
          <w:lang w:val="en-US" w:eastAsia="zh-CN"/>
        </w:rPr>
        <w:t xml:space="preserve">图2 </w:t>
      </w:r>
      <w:r>
        <w:rPr>
          <w:rFonts w:ascii="宋体" w:eastAsia="宋体" w:hAnsi="宋体" w:cs="宋体"/>
          <w:sz w:val="21"/>
          <w:szCs w:val="21"/>
        </w:rPr>
        <w:t>三维地基地质模型示意图</w:t>
      </w:r>
    </w:p>
    <w:p w14:paraId="263CD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3.3施工维度的三维协同设计延伸</w:t>
      </w:r>
    </w:p>
    <w:p w14:paraId="051B06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维协同设计的价值不只是设计阶段，向施工环节延伸可以进一步释放模型的全生命周期价值。传统的设计模式中，设计成果同施工环节存在断层，施工单位要重新读图、理解设计意图，容易造成理解上的偏差。基于三维协同设计模型，可以将施工进度计划和三维模型深度关联起来，创建出4D施工仿真模型，用动画的形式直观地展示出各个施工工序的时间节点和空间布局，使施工人员能够快速掌握施工组织的逻辑关系，从而减少技术交底所花的时间成本。在施工场地布置上，可以利用三维模型模拟施工营地、材料堆场、临时道路、导流设施的空间布置，合理安排场地资源，防止临时设施和永久建筑物之间出现空间上的冲突。对于高坝、大型洞室群等施工难度大的工程，可以利用三维模型对关键施工工序进行模拟推演，检验施工方案的可行性，提前发现施工风险点并采取相应的防范措施。协同设计模型还可以直接用于施工工程量的动态控制，根据施工进度及时提取出各个部位的工程量，给工程款结算和进度控制提供准确的依据。</w:t>
      </w:r>
    </w:p>
    <w:p w14:paraId="22C1D7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3.4数值仿真与虚拟技术的融合应用</w:t>
      </w:r>
    </w:p>
    <w:p w14:paraId="2A7839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工程数值仿真和虚拟场景技术的加入，使三维协同设计由原来的“造型表达”变为“性能检验”，从而提高设计的科学性、可靠性。传统的模式下数值仿真要单独建模，工作量大，模型和设计图纸不能保持一致，容易造成设计和分析相脱离的现象。三维协同设计模型可以直接和ANSYS、ABAQUS等有限元分析软件对接，把设计模型一键导入仿真软件做结构应力、渗流、抗震等计算分析，计算结果再反过来指导设计方案的优化，形成设计、分析、优化的闭环。虚拟技术的应用又使三维模型的展示和交互能力得到拓展。利用虚拟现实技术可以创建出沉浸式的工程场景，使设计人员、评审专家以及施工人员能够身临其境地观察工程的细节，提高方案评审和技术交底的效果。还可以用虚拟技术来模拟不同的水位、不同的气象条件下工程的运行情况，直观地表现出工程整体形态和周围环境的协调性。对一些复杂的水下结构、洞室工程，利用增强现实技术把三维模型叠加到现场场景上，配合施工质量检查和验收工作，使设计成果更好的服务于工程建设全过程。</w:t>
      </w:r>
    </w:p>
    <w:p w14:paraId="1483AE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4</w:t>
      </w:r>
      <w:r>
        <w:rPr>
          <w:rFonts w:ascii="宋体" w:eastAsia="宋体" w:hAnsi="宋体" w:cs="宋体" w:hint="eastAsia"/>
        </w:rPr>
        <w:t>结语</w:t>
      </w:r>
    </w:p>
    <w:p w14:paraId="5280FA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维协同设计属于水利水电工程设计数字化转型的主要技术方向，它在可视化表现、跨专业协作、空间掌控等各方面表现出明显的优势，很好地解决了传统二维设计模式所存在的不足，符合新时代水利工程精细化建设的要求。实际运用时要从统一平台搭建、水工专业深入、施工环节延伸、仿真技术融合这四个方面入手，完善配套标准体系和管理机制。伴随着数字技术的不断更新，三维协同设计将会越来越深入到水利水电工程的全生命周期中去，给水利水电工程的高质量建设提供更加坚实有力的数字化支持。</w:t>
      </w:r>
    </w:p>
    <w:p w14:paraId="4E0E0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01489D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p>
    <w:p w14:paraId="087ED6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[1]周旭雄.三维协同设计在水利水电工程设计中的应用[J].科技资讯,2018,16(20):63+65.</w:t>
      </w:r>
    </w:p>
    <w:p w14:paraId="4F5411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2</w:t>
      </w:r>
      <w:r>
        <w:rPr>
          <w:rFonts w:ascii="宋体" w:eastAsia="宋体" w:hAnsi="宋体" w:cs="宋体" w:hint="eastAsia"/>
        </w:rPr>
        <w:t>]汪庆一.三维设计方法在水利水电工程设计中的应用[J].科学技术创新,2018,(23):117-118.</w:t>
      </w:r>
    </w:p>
    <w:p w14:paraId="52D3E3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3</w:t>
      </w:r>
      <w:r>
        <w:rPr>
          <w:rFonts w:ascii="宋体" w:eastAsia="宋体" w:hAnsi="宋体" w:cs="宋体" w:hint="eastAsia"/>
        </w:rPr>
        <w:t>]张瀠月.基于BIM技术的水利水电工程三维协同设计策略[J].工程技术研究,2024,9(2):205-207.</w:t>
      </w:r>
    </w:p>
    <w:p w14:paraId="47E983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w:t>
      </w:r>
      <w:r>
        <w:rPr>
          <w:rFonts w:ascii="宋体" w:eastAsia="宋体" w:hAnsi="宋体" w:cs="宋体" w:hint="eastAsia"/>
          <w:lang w:val="en-US" w:eastAsia="zh-CN"/>
        </w:rPr>
        <w:t>4</w:t>
      </w:r>
      <w:r>
        <w:rPr>
          <w:rFonts w:ascii="宋体" w:eastAsia="宋体" w:hAnsi="宋体" w:cs="宋体" w:hint="eastAsia"/>
        </w:rPr>
        <w:t>]丁建博.基于BIM技术的水利水电工程三维协同设计路径[J].建筑技术开发,2021,48(24):13-14.</w:t>
      </w:r>
    </w:p>
    <w:p w14:paraId="1D0B8B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rPr>
        <w:t>[</w:t>
      </w:r>
      <w:r>
        <w:rPr>
          <w:rFonts w:ascii="宋体" w:eastAsia="宋体" w:hAnsi="宋体" w:cs="宋体" w:hint="eastAsia"/>
          <w:lang w:val="en-US" w:eastAsia="zh-CN"/>
        </w:rPr>
        <w:t>5</w:t>
      </w:r>
      <w:r>
        <w:rPr>
          <w:rFonts w:ascii="宋体" w:eastAsia="宋体" w:hAnsi="宋体" w:cs="宋体" w:hint="eastAsia"/>
        </w:rPr>
        <w:t>]解凌飞,李德.基于BIM技术的水利水电工程三维协同设计[J].中国农村水利水电,2020,(3):105-111.</w:t>
      </w:r>
    </w:p>
    <w:p w14:paraId="3F61FD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121E18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643C38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40E5F8E"/>
    <w:rsid w:val="7BCB3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TotalTime>
  <Pages>6</Pages>
  <Words>2913</Words>
  <Characters>2968</Characters>
  <Application>Microsoft Office Word</Application>
  <DocSecurity>0</DocSecurity>
  <Lines>0</Lines>
  <Paragraphs>0</Paragraphs>
  <ScaleCrop>false</ScaleCrop>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dc:creator>
  <cp:lastModifiedBy>星冉</cp:lastModifiedBy>
  <cp:revision>0</cp:revision>
  <dcterms:created xsi:type="dcterms:W3CDTF">2026-10-15T02:13:00Z</dcterms:created>
  <dcterms:modified xsi:type="dcterms:W3CDTF">2026-10-15T02:56:06Z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EEE6BA521BA4416F9F69A4739823E317_12</vt:lpwstr>
  </property>
  <property fmtid="{D5CDD505-2E9C-101B-9397-08002B2CF9AE}" pid="3" name="KSOProductBuildVer">
    <vt:lpwstr>2052-12.1.0.29161</vt:lpwstr>
  </property>
  <property fmtid="{D5CDD505-2E9C-101B-9397-08002B2CF9AE}" pid="4" name="KSOTemplateDocerSaveRecord">
    <vt:lpwstr>eyJoZGlkIjoiMTgxNGUwNDY3ZGJhODZkZmMzYjI4Yzc2NjhmMDI4NDIiLCJ1c2VySWQiOiIzMTM0ODA4NDEifQ==</vt:lpwstr>
  </property>
</Properties>
</file>