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BBBA46C">
      <w:pPr>
        <w:rPr>
          <w:rFonts w:hint="eastAsia"/>
        </w:rPr>
      </w:pPr>
      <w:r>
        <w:rPr>
          <w:rFonts w:hint="eastAsia"/>
        </w:rPr>
        <w:t>【摘要】</w:t>
      </w:r>
      <w:r>
        <w:rPr>
          <w:rFonts w:hint="eastAsia"/>
        </w:rPr>
        <w:t>旨在探讨上颌窦内提升结合种植体修复的近期疗效，并验证此联合疗法的安全及有效程度。本研究纳入二零二四至二零二六年间因上颌窦底骨组织缺损而接受内提升联合种植修复术的八十例病例，系统评估其术中及术后不良事件发生情况、植入体留存状况以及窦底抬升幅度等关键指标。经六至十二个月追踪观察，种植体留存比例达百分之九十六点二五；手术完成后，上颌窦底抬升幅度的均值为（3.72±0.64）mm；手术期间黏膜破损比例达百分之三点七五，而术后轻度上颌窦炎罹患率为百分之五，且未观测到任何重大不良事件。针对上颌窦底骨高度匮乏病例，采用内提升技术配合种植体植入进行修复，其近期疗效确切且术后不良事件较少；若精准筛选适用人群，则能达成理想的临床转归。</w:t>
      </w:r>
    </w:p>
    <w:p w14:paraId="037AAE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C00000"/>
          <w:lang w:eastAsia="zh-CN"/>
        </w:rPr>
      </w:pPr>
      <w:r>
        <w:rPr>
          <w:rFonts w:hint="eastAsia"/>
          <w:color w:val="C00000"/>
          <w:lang w:val="en-US" w:eastAsia="zh-CN"/>
        </w:rPr>
        <w:t>1.1</w:t>
      </w:r>
      <w:r>
        <w:rPr>
          <w:rFonts w:hint="eastAsia"/>
          <w:color w:val="C00000"/>
          <w:lang w:eastAsia="zh-CN"/>
        </w:rPr>
        <w:t>一般资料</w:t>
      </w:r>
    </w:p>
    <w:p w14:paraId="38F858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C00000"/>
          <w:lang w:eastAsia="zh-CN"/>
        </w:rPr>
      </w:pPr>
      <w:r>
        <w:rPr>
          <w:rFonts w:hint="eastAsia"/>
          <w:color w:val="C00000"/>
          <w:lang w:eastAsia="zh-CN"/>
        </w:rPr>
        <w:t>本研究纳入八十名2024至2026年间在本院口腔科室接受诊疗的病例，其临床特征均为上颌后部牙列缺失且窦底可用骨量匮乏，并实施了窦内提升术协同种植体修复方案。针对上颌后段单牙或多数牙列缺损病例，经锥形束CT影像学评估，确认窦底下方可用骨量介于四至八毫米之间；曾行上颌窦术式，且窦底黏膜增厚逾三毫米；受试者年龄跨度介于三十四至六十六载，均值达48.62±7.15岁；</w:t>
      </w:r>
    </w:p>
    <w:p w14:paraId="5D93FF45">
      <w:pPr>
        <w:rPr>
          <w:rFonts w:hint="eastAsia"/>
          <w:lang w:val="en-US" w:eastAsia="en-US"/>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0774490"/>
    <w:rsid w:val="17A47ACA"/>
    <w:rsid w:val="30BB7607"/>
    <w:rsid w:val="5274552B"/>
    <w:rsid w:val="60B34966"/>
    <w:rsid w:val="615A1273"/>
    <w:rsid w:val="640501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semiHidden="0"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after="200" w:line="276" w:lineRule="auto"/>
    </w:pPr>
    <w:rPr>
      <w:rFonts w:ascii="宋体" w:eastAsia="宋体" w:hAnsi="宋体" w:cstheme="minorBidi"/>
      <w:sz w:val="24"/>
      <w:szCs w:val="22"/>
      <w:lang w:val="en-US" w:eastAsia="en-US" w:bidi="ar-SA"/>
    </w:rPr>
  </w:style>
  <w:style w:type="paragraph" w:styleId="Heading3">
    <w:name w:val="heading 3"/>
    <w:basedOn w:val="Normal"/>
    <w:next w:val="Normal"/>
    <w:uiPriority w:val="9"/>
    <w:unhideWhenUsed/>
    <w:qFormat/>
    <w:pPr>
      <w:keepNext/>
      <w:keepLines/>
      <w:spacing w:before="200" w:after="0"/>
      <w:outlineLvl w:val="2"/>
    </w:pPr>
    <w:rPr>
      <w:rFonts w:asciiTheme="majorHAnsi" w:eastAsiaTheme="majorEastAsia" w:hAnsiTheme="majorHAnsi" w:cstheme="majorBidi"/>
      <w:b/>
      <w:bCs/>
      <w:color w:val="4874CB" w:themeColor="accent1"/>
      <w14:textFill>
        <w14:solidFill>
          <w14:schemeClr w14:val="accent1"/>
        </w14:solidFill>
      </w14:textFill>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525</Words>
  <Characters>589</Characters>
  <Application>Microsoft Office Word</Application>
  <DocSecurity>0</DocSecurity>
  <Lines>0</Lines>
  <Paragraphs>0</Paragraphs>
  <ScaleCrop>false</ScaleCrop>
  <Company/>
  <LinksUpToDate>false</LinksUpToDate>
  <CharactersWithSpaces>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2026-10-13T06:26:00Z</dcterms:created>
  <dcterms:modified xsi:type="dcterms:W3CDTF">2026-10-14T12:01:10Z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D3F7E08F22274123A5002167D0D25BC8_12</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