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7438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（二）打通业财链路，深化数据协同</w:t>
      </w:r>
    </w:p>
    <w:p w14:paraId="32A3359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业财数据的互联互通是实现台账动态核算的前提，企业要依靠系统对接和流程再造来冲破部门间的壁垒，达成业务数据同财务数据的无缝对接并即时同步。第</w:t>
      </w:r>
      <w:r>
        <w:rPr>
          <w:rFonts w:ascii="宋体" w:eastAsia="宋体" w:hAnsi="宋体" w:cs="宋体" w:hint="eastAsia"/>
          <w:sz w:val="21"/>
          <w:szCs w:val="21"/>
        </w:rPr>
        <w:t>一，推进业务系统同财务系统的深度融合，引入或者升级项目管理系统和财务共享系统，搭建起标准化的数据接口，工程进度、采购入库、商务结算等业务数据自动同步到台账系统，采用OCR识别技术提取纸质单据信息，减少人工录入的误差，设置数据校验规则，结算金额不能超过对应合同节点约定的金额，从技术上保证数据的准确性和及时</w:t>
      </w:r>
      <w:r>
        <w:rPr>
          <w:rFonts w:ascii="宋体" w:eastAsia="宋体" w:hAnsi="宋体" w:cs="宋体" w:hint="eastAsia"/>
          <w:b w:val="0"/>
          <w:bCs w:val="0"/>
          <w:sz w:val="21"/>
          <w:szCs w:val="21"/>
        </w:rPr>
        <w:t>性。第二，实行“周清旬结”过程核算流程，改变月底集中算账的传统模式，业务部门每旬末3个工作日内提交当期全部业务单据，财会部门2个工作日内完成单据审核和台账更新，每周核对当周成本支出和进度匹配情况，每旬完成阶段成本归集和毛利测算，提高核算的时效性。第三，创</w:t>
      </w:r>
      <w:r>
        <w:rPr>
          <w:rFonts w:ascii="宋体" w:eastAsia="宋体" w:hAnsi="宋体" w:cs="宋体" w:hint="eastAsia"/>
          <w:sz w:val="21"/>
          <w:szCs w:val="21"/>
        </w:rPr>
        <w:t>建月度业财三方对账机制，每月固定时间由工程、商务、财务部门共同开展对账工作，对进度产值、结算金额、成本归集的数据差异逐项核实，对合同内结算、常规材料付款等标准化业务设置自动核对规则，由系统完成自动对账匹配，只将异常差异项推到人工核查，形成书面对账记录，将差异原因明确到具体环节和责任人，及时调整台账数据，保证账实相符、业财数据一致。</w:t>
      </w:r>
    </w:p>
    <w:p w14:paraId="4A28AE6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（三）搭建动态机制，强化实时预警</w:t>
      </w:r>
    </w:p>
    <w:p w14:paraId="16DA39C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动态化的风险预警是台账精细化管理价值释放的关键，企业要根据多维台账数据创建分级分类的监控预警和响应机制，从而达到风险早发现、早干预、早处置的目的。第一，设置多维度的分级预警阈值，在台账系统中对合同结算、成本支出、资金回款三个主要指标分别设定预警线，例如累计结算额达到合同总价80%时发出黄色预警，达到95%时发出红色预警并暂停新增结算办理，单项工程成本超过目标成本5%时发出成本偏差预警，预警信息自动发送给对应项目经理和财务负责人，保证相关人员及时得到风险信号。第二，创建变更签证的台账联动更新机制，所有现场变更签证在业务发生后3个工作日内录入台账系统，上传签证单扫描件和造价测算数据，同步更新合同台账的调整金额和成本台账的支出金额，财会人员实时核算变更事项对项目整体盈亏的影响，对未按要求及时录入的变更签证，财务部门不予确认对应的成本支出。第三，健全预警响应的闭环管理流程，确定各个等级预警的响应时限和处理要求，黄色预警由项目财务人员在3个工作日内核实情况并提交书面说明，红色预警由财会部门牵头开展专项核查，根据项目实际情况提出成本纠偏或者资金调配的具体措施，跟踪整改进度，在台账中记录处理全过程，实现风险从预警到处置的闭环管理。</w:t>
      </w:r>
    </w:p>
    <w:p w14:paraId="7AA2457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（四）赋能财会队伍，夯实落地支撑</w:t>
      </w:r>
    </w:p>
    <w:p w14:paraId="15B369F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财会队伍专业能力及业务融合能力直接关系到台账精细化核算的落实程度和运行质量，企业要从能力培养、岗位联动、考核激励三个方面创建出符合精细化管理需求的财会人才队伍。第一，分层分类开展业财融合专项培训，对基层财会人员进行施工基本工艺、合同通用条款、工程量计量规则等工程基础知识培训，每月开展一次集中业务学习，每季度安排人员到项目现场跟班学习不少于5个工作日，增强对业务场景的理解；对财务负责人进行成本管控和经营分析能力培训，提高数据解读和决策支撑的能力。第二，创建项目财务对接人双岗联动机制，每个在建项目指定一个财务对接人，全程参与项目的投标成本测算、合同评审、施工过程管控、竣工结算等工作，参加项目成本分析会、进度例会，从财务角度提出成本优化建议，指导业务部门规范单据填报、数据报送，打通业财协同的“最后一公</w:t>
      </w:r>
      <w:r>
        <w:rPr>
          <w:rFonts w:ascii="宋体" w:eastAsia="宋体" w:hAnsi="宋体" w:cs="宋体" w:hint="eastAsia"/>
          <w:b w:val="0"/>
          <w:bCs w:val="0"/>
          <w:sz w:val="21"/>
          <w:szCs w:val="21"/>
          <w:lang w:eastAsia="zh-CN"/>
        </w:rPr>
        <w:t>里”。第三，建</w:t>
      </w:r>
      <w:r>
        <w:rPr>
          <w:rFonts w:ascii="宋体" w:eastAsia="宋体" w:hAnsi="宋体" w:cs="宋体" w:hint="eastAsia"/>
          <w:b w:val="0"/>
          <w:bCs w:val="0"/>
          <w:sz w:val="21"/>
          <w:szCs w:val="21"/>
        </w:rPr>
        <w:t>立配套的考核激励机制，把台账数据的准确性、报送及时性、预警响应处理效果等指标纳入到相关业务部门和财会人员的绩效考核体系中，对数据质量好、预警处置及时的团队进行绩效奖励，对多次出现数据差错、延误报送的部门进行绩效扣分，用明确的奖惩导向来保证台账精细化核算体系的持续有效运行。</w:t>
      </w:r>
    </w:p>
    <w:p w14:paraId="55337628">
      <w:pPr>
        <w:rPr>
          <w:rFonts w:hint="eastAsia"/>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6704D02"/>
    <w:rsid w:val="30EB33E1"/>
    <w:rsid w:val="322B7D76"/>
    <w:rsid w:val="3259788A"/>
    <w:rsid w:val="6C5C22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f9eb2c8b-222e-4dd4-b34b-0184974bf33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4302</Words>
  <Characters>4309</Characters>
  <Application>Microsoft Office Word</Application>
  <DocSecurity>0</DocSecurity>
  <Lines>0</Lines>
  <Paragraphs>0</Paragraphs>
  <ScaleCrop>false</ScaleCrop>
  <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2026-10-14T00:38:00Z</dcterms:created>
  <dcterms:modified xsi:type="dcterms:W3CDTF">2026-10-14T02:08:40Z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FCCF66F228774E97A712907F1012B021_13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