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C53878B">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val="0"/>
          <w:bCs w:val="0"/>
          <w:sz w:val="21"/>
          <w:szCs w:val="21"/>
        </w:rPr>
      </w:pPr>
      <w:bookmarkStart w:id="0" w:name="_GoBack"/>
      <w:bookmarkEnd w:id="0"/>
    </w:p>
    <w:p w14:paraId="31C6974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摘要</w:t>
      </w:r>
      <w:r>
        <w:rPr>
          <w:rFonts w:ascii="Times New Roman" w:eastAsia="宋体" w:hAnsi="Times New Roman" w:cs="Times New Roman" w:hint="eastAsia"/>
          <w:b/>
          <w:bCs/>
          <w:sz w:val="21"/>
          <w:szCs w:val="21"/>
          <w:lang w:eastAsia="zh-CN"/>
        </w:rPr>
        <w:t>：</w:t>
      </w:r>
      <w:r>
        <w:rPr>
          <w:rFonts w:ascii="Times New Roman" w:eastAsia="宋体" w:hAnsi="Times New Roman" w:cs="Times New Roman" w:hint="eastAsia"/>
          <w:b/>
          <w:bCs/>
          <w:sz w:val="21"/>
          <w:szCs w:val="21"/>
          <w:lang w:eastAsia="zh-CN"/>
        </w:rPr>
        <w:t>在全</w:t>
      </w:r>
      <w:r>
        <w:rPr>
          <w:rFonts w:ascii="Times New Roman" w:eastAsia="宋体" w:hAnsi="Times New Roman" w:cs="Times New Roman" w:hint="default"/>
          <w:b/>
          <w:bCs/>
          <w:sz w:val="21"/>
          <w:szCs w:val="21"/>
        </w:rPr>
        <w:t>球气候变化加剧、水资源供需矛盾日益突出的大背景下，农田水利设施作为农业生产的主要支撑载体，它的建设质量以及应用效果同粮食安全底线、农业高质量发展息息相关。本文以农田水利设施在农业发展中所起的作用和应用路径为研究对象，选取西北半干旱地区县域农田水利建设典型事例，对农业生产全过程中的农田水利设施的作用机理及现实运行问题进行剖析，整理出各个发展阶段的农田水利设施应用形态和功能特点，提出工程布局适配、节水技术融合、管护机制协同、产业效益联动四个层面的优化路径，以期理清农田水利设施向农业发展效能转化的内在逻辑，给不同资源禀赋区域的水利设施提质升级提供可以参照的实践框架，也为农业现代化进程中水利支撑体系的构建提供理论上的补充参考。</w:t>
      </w:r>
    </w:p>
    <w:p w14:paraId="729BBFE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p>
    <w:p w14:paraId="43975C4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3农田水利设施在农业发展中的应用路径</w:t>
      </w:r>
    </w:p>
    <w:p w14:paraId="7F7F91F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3.1分区适配的工程布局优化路径</w:t>
      </w:r>
    </w:p>
    <w:p w14:paraId="31FC1C9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农田水利设施的布局适配性直接影响到其功能发挥的上限，不同的自然地理单元水资源禀赋、地形条件、农业生产模式存在较大差异，所</w:t>
      </w:r>
      <w:r>
        <w:rPr>
          <w:rFonts w:ascii="Times New Roman" w:eastAsia="宋体" w:hAnsi="Times New Roman" w:cs="Times New Roman" w:hint="eastAsia"/>
          <w:b/>
          <w:bCs/>
          <w:sz w:val="21"/>
          <w:szCs w:val="21"/>
          <w:lang w:val="en-US" w:eastAsia="zh-CN"/>
        </w:rPr>
        <w:t>以需</w:t>
      </w:r>
      <w:r>
        <w:rPr>
          <w:rFonts w:ascii="Times New Roman" w:eastAsia="宋体" w:hAnsi="Times New Roman" w:cs="Times New Roman" w:hint="default"/>
          <w:b/>
          <w:bCs/>
          <w:sz w:val="21"/>
          <w:szCs w:val="21"/>
        </w:rPr>
        <w:t>要根据县域空间分异特点来制定梯度化的布局方案</w:t>
      </w:r>
      <w:r>
        <w:rPr>
          <w:rFonts w:ascii="Times New Roman" w:eastAsia="宋体" w:hAnsi="Times New Roman" w:cs="Times New Roman" w:hint="eastAsia"/>
          <w:b/>
          <w:bCs/>
          <w:sz w:val="21"/>
          <w:szCs w:val="21"/>
          <w:vertAlign w:val="superscript"/>
          <w:lang w:val="en-US" w:eastAsia="zh-CN"/>
        </w:rPr>
        <w:t>[3]</w:t>
      </w:r>
      <w:r>
        <w:rPr>
          <w:rFonts w:ascii="Times New Roman" w:eastAsia="宋体" w:hAnsi="Times New Roman" w:cs="Times New Roman" w:hint="default"/>
          <w:b/>
          <w:bCs/>
          <w:sz w:val="21"/>
          <w:szCs w:val="21"/>
        </w:rPr>
        <w:t>。第一，对全域水资源和农业需求进行精细化普查。组织水利、农业、自然资源等部门专业技术人员，以行政村为单位开展拉网式摸排，全面采集各片区年降水量、地下水埋深、土壤保水能力、主栽作物种类和灌溉需水规律等资料，建立县域水资源供需动态数据库，划分出优先建设区、改造提升区和生态涵养区，确定各个区域的水利设施种类和建设时序。第二，分区分类配置水利工程设施体系，</w:t>
      </w:r>
      <w:r>
        <w:rPr>
          <w:rFonts w:ascii="Times New Roman" w:eastAsia="宋体" w:hAnsi="Times New Roman" w:cs="Times New Roman" w:hint="eastAsia"/>
          <w:b/>
          <w:bCs/>
          <w:sz w:val="21"/>
          <w:szCs w:val="21"/>
          <w:lang w:eastAsia="zh-CN"/>
        </w:rPr>
        <w:t>平原</w:t>
      </w:r>
      <w:r>
        <w:rPr>
          <w:rFonts w:ascii="Times New Roman" w:eastAsia="宋体" w:hAnsi="Times New Roman" w:cs="Times New Roman" w:hint="eastAsia"/>
          <w:b/>
          <w:bCs/>
          <w:sz w:val="21"/>
          <w:szCs w:val="21"/>
          <w:lang w:val="en-US" w:eastAsia="zh-CN"/>
        </w:rPr>
        <w:t>灌区</w:t>
      </w:r>
      <w:r>
        <w:rPr>
          <w:rFonts w:ascii="Times New Roman" w:eastAsia="宋体" w:hAnsi="Times New Roman" w:cs="Times New Roman" w:hint="default"/>
          <w:b/>
          <w:bCs/>
          <w:sz w:val="21"/>
          <w:szCs w:val="21"/>
        </w:rPr>
        <w:t>以完善灌排结合的渠网体系、升级防渗渠道和低压输水管道、配套建设田间分水闸和计量装置为重点；黄土丘陵区以小型分散式工程为主，修建塘坝、集雨池和微型蓄水设施，配套坡地输水软管和移动灌溉设备；山地生态区以建设水土保持型水利工程为主，配套生态沟渠和拦沙蓄水设施，满足不同区域的生产、生态需求。第三，推进水利工程和农田建设的统筹，把农田水</w:t>
      </w:r>
      <w:r>
        <w:rPr>
          <w:rFonts w:ascii="Times New Roman" w:eastAsia="宋体" w:hAnsi="Times New Roman" w:cs="Times New Roman" w:hint="eastAsia"/>
          <w:b/>
          <w:bCs/>
          <w:sz w:val="21"/>
          <w:szCs w:val="21"/>
          <w:lang w:eastAsia="zh-CN"/>
        </w:rPr>
        <w:t>利</w:t>
      </w:r>
      <w:r>
        <w:rPr>
          <w:rFonts w:ascii="Times New Roman" w:eastAsia="宋体" w:hAnsi="Times New Roman" w:cs="Times New Roman" w:hint="default"/>
          <w:b/>
          <w:bCs/>
          <w:sz w:val="21"/>
          <w:szCs w:val="21"/>
        </w:rPr>
        <w:t>设施纳入到高标准农田建设总体规划中，同步开展土地平整、田间道路、林网建设、输水管道布设等工作，根据田块坡度、走向、作物种植模式来设计管网布局和出水口间距，统一预留智能灌溉设备安装接口和供电线路，实现农田基础设施的协同配套和整体增效</w:t>
      </w:r>
      <w:r>
        <w:rPr>
          <w:rFonts w:ascii="Times New Roman" w:eastAsia="宋体" w:hAnsi="Times New Roman" w:cs="Times New Roman" w:hint="eastAsia"/>
          <w:b/>
          <w:bCs/>
          <w:sz w:val="21"/>
          <w:szCs w:val="21"/>
          <w:vertAlign w:val="superscript"/>
          <w:lang w:val="en-US" w:eastAsia="zh-CN"/>
        </w:rPr>
        <w:t>[4]</w:t>
      </w:r>
      <w:r>
        <w:rPr>
          <w:rFonts w:ascii="Times New Roman" w:eastAsia="宋体" w:hAnsi="Times New Roman" w:cs="Times New Roman" w:hint="default"/>
          <w:b/>
          <w:bCs/>
          <w:sz w:val="21"/>
          <w:szCs w:val="21"/>
        </w:rPr>
        <w:t>。</w:t>
      </w:r>
    </w:p>
    <w:p w14:paraId="2D7C1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p>
    <w:p w14:paraId="7E9AE57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5农田水利设施在农业发展中的应用前景</w:t>
      </w:r>
    </w:p>
    <w:p w14:paraId="7CB23CC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5.1智慧化技术的深度渗透前景</w:t>
      </w:r>
    </w:p>
    <w:p w14:paraId="653F8B1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数字技术同农业水利的融合，属于未来的发展趋向，物联网、大数据这些技术的普及会促使农田水利设施朝着智慧化方向不断前进。随着传感器硬件成本的不断下降，田间监测网络的覆盖范围会越来越大，用人工智能算法可以对作物的需水进行更精确的预测，也可以对灌溉进行智能调度，从而提高水利设施的运行效率和用水的精确度，给农业水利的精细化管理提供持续的技术支持。</w:t>
      </w:r>
    </w:p>
    <w:p w14:paraId="231D2B3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5.2生态化功能的拓展应用前景</w:t>
      </w:r>
    </w:p>
    <w:p w14:paraId="2DC4619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在生态文明建设不断推进的大环境下，农田水利设施的生态功能将会被越来越多地重视起来，逐渐由原来的单一生产功能转变为生产生态复合功能。未来农田水利建设会更多地采用生态设计理念，生态沟渠、人工湿地、植被缓冲带等设施所占比例会逐渐增加，在保证灌溉功能的同时发挥出水质净化、生物栖息等生态作用，提高农业生态系统稳定性以及抗干扰能力。</w:t>
      </w:r>
    </w:p>
    <w:p w14:paraId="1794E33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5.3市场化运营的模式创新前景</w:t>
      </w:r>
    </w:p>
    <w:p w14:paraId="386021E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农田水利的可持续发展要依靠市场化机制的加入，未来的管护模式创新会更多地激发市场主体的参与热情。物业化管护、水权交易等模式将会在更多的地区推广实施，专业运维公司可以提供标准化、专业化的水利设施管理服务，降低政府部门的管理成本和人力投入，水权交易制度可以把节约的水资源变成经济收益，提高农户和经营主体节水的内生动力。</w:t>
      </w:r>
    </w:p>
    <w:p w14:paraId="2407CC8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6结语</w:t>
      </w:r>
    </w:p>
    <w:p w14:paraId="1E41A55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rPr>
      </w:pPr>
      <w:r>
        <w:rPr>
          <w:rFonts w:ascii="Times New Roman" w:eastAsia="宋体" w:hAnsi="Times New Roman" w:cs="Times New Roman" w:hint="default"/>
          <w:b/>
          <w:bCs/>
          <w:sz w:val="21"/>
          <w:szCs w:val="21"/>
        </w:rPr>
        <w:t>因此，农田水利设施是农业发展的主要基础设施，它的价值体现在产能提高、效率改善、结构优化和生态营造等各方面，不同的地</w:t>
      </w:r>
      <w:r>
        <w:rPr>
          <w:rFonts w:ascii="Times New Roman" w:eastAsia="宋体" w:hAnsi="Times New Roman" w:cs="Times New Roman" w:hint="eastAsia"/>
          <w:b/>
          <w:bCs/>
          <w:sz w:val="21"/>
          <w:szCs w:val="21"/>
          <w:lang w:eastAsia="zh-CN"/>
        </w:rPr>
        <w:t>区</w:t>
      </w:r>
      <w:r>
        <w:rPr>
          <w:rFonts w:ascii="Times New Roman" w:eastAsia="宋体" w:hAnsi="Times New Roman" w:cs="Times New Roman" w:hint="default"/>
          <w:b/>
          <w:bCs/>
          <w:sz w:val="21"/>
          <w:szCs w:val="21"/>
        </w:rPr>
        <w:t>要根据自身的资源禀赋和产业发展状况来寻找适合自己的工程布局、技术途径和管护方式，充分发挥出水利设施的综合效益。今后可以将数字技术和生态理念融入到农田水利建设的全过程，建立多元协同的治理体系，用高质量的水利供给来推动农业的可持续发展，为实现农业现代化打下坚实的基础。</w:t>
      </w:r>
    </w:p>
    <w:p w14:paraId="5139DC1C">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Times New Roman" w:eastAsia="宋体" w:hAnsi="Times New Roman" w:cs="Times New Roman" w:hint="default"/>
          <w:b/>
          <w:bCs/>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8837F6"/>
    <w:rsid w:val="1BC74E96"/>
    <w:rsid w:val="2EF43455"/>
    <w:rsid w:val="418B5019"/>
    <w:rsid w:val="6C792C7D"/>
    <w:rsid w:val="797D4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dc619a66-afde-4c5d-a87e-6226d95b6e93</errorID>
      <errorWord>：</errorWord>
      <group>L1_Word</group>
      <groupName>字词问题</groupName>
      <ability>L2_Typo</ability>
      <abilityName>字词错误</abilityName>
      <candidateList>
        <item>：在</item>
      </candidateList>
      <explain/>
      <paraID>31C69745</paraID>
      <start>2</start>
      <end>4</end>
      <status>modified</status>
      <modifiedWord>：在</modifiedWord>
      <trackRevisions>false</trackRevisions>
    </reviewItem>
    <reviewItem>
      <errorID>a62fa060-b828-4476-bdf9-f0adf30d7792</errorID>
      <errorWord>阶段中</errorWord>
      <group>L1_Word</group>
      <groupName>字词问题</groupName>
      <ability>L2_Typo</ability>
      <abilityName>字词错误</abilityName>
      <candidateList>
        <item>阶段</item>
      </candidateList>
      <explain/>
      <paraID>57E1216A</paraID>
      <start>10</start>
      <end>13</end>
      <status>unmodified</status>
      <modifiedWord/>
      <trackRevisions>false</trackRevisions>
    </reviewItem>
    <reviewItem>
      <errorID>fa72ecf7-f9fa-46af-8700-bbe857814c5f</errorID>
      <errorWord>供</errorWord>
      <group>L1_Word</group>
      <groupName>字词问题</groupName>
      <ability>L2_Typo</ability>
      <abilityName>字词错误</abilityName>
      <candidateList>
        <item>供了</item>
      </candidateList>
      <explain/>
      <paraID> 7403376</paraID>
      <start>48</start>
      <end>50</end>
      <status>modified</status>
      <modifiedWord>供了</modifiedWord>
      <trackRevisions>false</trackRevisions>
    </reviewItem>
  </reviewItems>
  <config/>
</contractReview>
</file>

<file path=customXml/itemProps1.xml><?xml version="1.0" encoding="utf-8"?>
<ds:datastoreItem xmlns:ds="http://schemas.openxmlformats.org/officeDocument/2006/customXml" ds:itemID="{261f1b6b-8b3c-46d3-8078-af2d22e3634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4854</Words>
  <Characters>4903</Characters>
  <Application>Microsoft Office Word</Application>
  <DocSecurity>0</DocSecurity>
  <Lines>0</Lines>
  <Paragraphs>0</Paragraphs>
  <ScaleCrop>false</ScaleCrop>
  <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2026-10-13T03:03:00Z</dcterms:created>
  <dcterms:modified xsi:type="dcterms:W3CDTF">2026-10-13T06:36:10Z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8FAB2035F5004CBA8DBD13116228DEC3_13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