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F917557">
      <w:pPr>
        <w:rPr>
          <w:rFonts w:hint="eastAsia"/>
          <w:color w:val="0000FF"/>
          <w:sz w:val="21"/>
          <w:szCs w:val="21"/>
          <w:lang w:val="en-US" w:eastAsia="zh-CN"/>
        </w:rPr>
      </w:pPr>
      <w:r>
        <w:rPr>
          <w:rFonts w:hint="eastAsia"/>
          <w:color w:val="0000FF"/>
          <w:sz w:val="21"/>
          <w:szCs w:val="21"/>
          <w:lang w:val="en-US" w:eastAsia="zh-CN"/>
        </w:rPr>
        <w:t>【摘要】</w:t>
      </w:r>
      <w:r>
        <w:rPr>
          <w:rFonts w:hint="eastAsia"/>
          <w:b/>
          <w:bCs/>
          <w:color w:val="0000FF"/>
          <w:sz w:val="21"/>
          <w:szCs w:val="21"/>
          <w:lang w:val="en-US" w:eastAsia="zh-CN"/>
        </w:rPr>
        <w:t>本研究</w:t>
      </w:r>
      <w:r>
        <w:rPr>
          <w:rFonts w:hint="eastAsia"/>
          <w:color w:val="0000FF"/>
          <w:sz w:val="21"/>
          <w:szCs w:val="21"/>
          <w:lang w:val="en-US" w:eastAsia="zh-CN"/>
        </w:rPr>
        <w:t>旨在系统评估中药配方颗粒与传统饮片汤剂在胃溃疡诊疗中的综合表现，涵盖临床效用、症候缓解程度、患者服药顺应性及安全性等维度，以期优化该病中医药疗法的剂型甄选策略并奠</w:t>
      </w:r>
      <w:r>
        <w:rPr>
          <w:rFonts w:hint="eastAsia"/>
          <w:b/>
          <w:bCs/>
          <w:color w:val="0000FF"/>
          <w:sz w:val="21"/>
          <w:szCs w:val="21"/>
          <w:lang w:val="en-US" w:eastAsia="zh-CN"/>
        </w:rPr>
        <w:t>定循证</w:t>
      </w:r>
      <w:r>
        <w:rPr>
          <w:rFonts w:hint="eastAsia"/>
          <w:color w:val="0000FF"/>
          <w:sz w:val="21"/>
          <w:szCs w:val="21"/>
          <w:lang w:val="en-US" w:eastAsia="zh-CN"/>
        </w:rPr>
        <w:t>基础。本研究纳入2025年6月至次年同月期间本院接诊的120名胃溃疡病例，依据随机数字表原则将其均等划分为观察及对照两个组别，各组样本量均为六十例。除药物剂型存在差异外，两组在基础干预、处方组成及疗程设定等方面均保持一致；其中对照病例予以常规饮片汤剂，观察病例则施以等量配方颗粒。针对两组受试者，需对比分析其临床疗效、中医证候评分、服药依从性及不良事件发生情况。相较于对照样本，观察组在总体</w:t>
      </w:r>
      <w:r>
        <w:rPr>
          <w:rFonts w:hint="eastAsia"/>
          <w:b/>
          <w:bCs/>
          <w:color w:val="0000FF"/>
          <w:sz w:val="21"/>
          <w:szCs w:val="21"/>
          <w:lang w:val="en-US" w:eastAsia="zh-CN"/>
        </w:rPr>
        <w:t>疗效</w:t>
      </w:r>
      <w:r>
        <w:rPr>
          <w:rFonts w:hint="eastAsia"/>
          <w:color w:val="0000FF"/>
          <w:sz w:val="21"/>
          <w:szCs w:val="21"/>
          <w:lang w:val="en-US" w:eastAsia="zh-CN"/>
        </w:rPr>
        <w:t>及服药顺应性方面均呈现显著优势；经干预，两组受试者中医证候评分较基线均呈显著降低趋势，且观察组改善幅度尤为突出；相较于对照序列，观察序列所呈现的副反应频次显著降低，且两组间各维度参数对比均具备统计学层面的显著性差异（P＜0.05）。</w:t>
      </w:r>
    </w:p>
    <w:p w14:paraId="1E687FEC">
      <w:pPr>
        <w:keepNext w:val="0"/>
        <w:keepLines w:val="0"/>
        <w:pageBreakBefore w:val="0"/>
        <w:kinsoku/>
        <w:wordWrap/>
        <w:overflowPunct/>
        <w:topLinePunct w:val="0"/>
        <w:autoSpaceDE/>
        <w:autoSpaceDN/>
        <w:bidi w:val="0"/>
        <w:adjustRightInd/>
        <w:snapToGrid/>
        <w:spacing w:line="360" w:lineRule="auto"/>
        <w:ind w:firstLine="420" w:firstLineChars="200"/>
        <w:jc w:val="both"/>
        <w:rPr>
          <w:rFonts w:hint="eastAsia"/>
          <w:color w:val="0000FF"/>
          <w:sz w:val="21"/>
          <w:szCs w:val="21"/>
          <w:lang w:val="en-US" w:eastAsia="zh-CN"/>
        </w:rPr>
      </w:pPr>
      <w:r>
        <w:rPr>
          <w:rFonts w:hint="eastAsia"/>
          <w:color w:val="0000FF"/>
          <w:sz w:val="21"/>
          <w:szCs w:val="21"/>
          <w:lang w:val="en-US" w:eastAsia="zh-CN"/>
        </w:rPr>
        <w:t>1.1 一般资料</w:t>
      </w:r>
    </w:p>
    <w:p w14:paraId="79ECA9ED">
      <w:pPr>
        <w:keepNext w:val="0"/>
        <w:keepLines w:val="0"/>
        <w:pageBreakBefore w:val="0"/>
        <w:kinsoku/>
        <w:wordWrap/>
        <w:overflowPunct/>
        <w:topLinePunct w:val="0"/>
        <w:autoSpaceDE/>
        <w:autoSpaceDN/>
        <w:bidi w:val="0"/>
        <w:adjustRightInd/>
        <w:snapToGrid/>
        <w:spacing w:line="360" w:lineRule="auto"/>
        <w:ind w:firstLine="420" w:firstLineChars="200"/>
        <w:jc w:val="both"/>
        <w:rPr>
          <w:rFonts w:hint="eastAsia"/>
          <w:color w:val="0000FF"/>
          <w:sz w:val="21"/>
          <w:szCs w:val="21"/>
          <w:lang w:val="en-US" w:eastAsia="zh-CN"/>
        </w:rPr>
      </w:pPr>
      <w:r>
        <w:rPr>
          <w:rFonts w:hint="eastAsia"/>
          <w:color w:val="0000FF"/>
          <w:sz w:val="21"/>
          <w:szCs w:val="21"/>
          <w:lang w:val="en-US" w:eastAsia="zh-CN"/>
        </w:rPr>
        <w:t>本研究于2025年6月至次年同月期间，自本院消化内科遴选一百二十名胃溃疡患者作为研究对象，并采用随机化原则将其均等划分为观察与对照两个组别，各组样本量均为六十例。受试者年龄跨度介于二十四至六十六载，均值达（44.72±8.36）岁；患病时长介于零点五至七载之间，均值达（3.25±1.14）年；病灶径线介于零点四至一点八厘米间，均值达（1.02±0.31）cm。受试者年岁介于二十三至六十五载之间，其均值达43.95±8.17岁；患病时长介于零点四至六点五载，均值为三点一一加减一点零八岁；病灶横径介于零点三至一点七厘米之间，均值达（0.98±0.29）cm。就性别构成、年龄分布、患病时长及溃疡面积等基线特征而言，组间均衡性检验结果均显示P值大于0.05，表明研究对象具备良好的可比基础。该课题已获本院医学伦理审查许可，受试者均充分知悉研究详情且完成书面确认程序。</w:t>
      </w:r>
    </w:p>
    <w:p w14:paraId="6E10F50B">
      <w:pPr>
        <w:rPr>
          <w:rFonts w:hint="eastAsia"/>
          <w:color w:val="0000FF"/>
          <w:sz w:val="21"/>
          <w:szCs w:val="21"/>
          <w:lang w:val="en-US" w:eastAsia="zh-CN"/>
        </w:rPr>
      </w:pPr>
      <w:r>
        <w:rPr>
          <w:rFonts w:hint="eastAsia"/>
          <w:color w:val="0000FF"/>
          <w:sz w:val="21"/>
          <w:szCs w:val="21"/>
          <w:lang w:val="en-US" w:eastAsia="zh-CN"/>
        </w:rPr>
        <w:t>①借助电子胃镜检查明确处于活动阶段的胃部溃疡病变，且满足西医学关于消化性溃疡的判定准则；</w:t>
      </w:r>
    </w:p>
    <w:p w14:paraId="2BC9504E">
      <w:pPr>
        <w:keepNext w:val="0"/>
        <w:keepLines w:val="0"/>
        <w:pageBreakBefore w:val="0"/>
        <w:kinsoku/>
        <w:wordWrap/>
        <w:overflowPunct/>
        <w:topLinePunct w:val="0"/>
        <w:autoSpaceDE/>
        <w:autoSpaceDN/>
        <w:bidi w:val="0"/>
        <w:adjustRightInd/>
        <w:snapToGrid/>
        <w:spacing w:line="360" w:lineRule="auto"/>
        <w:ind w:firstLine="420" w:firstLineChars="200"/>
        <w:jc w:val="both"/>
        <w:rPr>
          <w:rFonts w:hint="eastAsia"/>
          <w:color w:val="0000FF"/>
          <w:sz w:val="21"/>
          <w:szCs w:val="21"/>
          <w:lang w:val="en-US" w:eastAsia="zh-CN"/>
        </w:rPr>
      </w:pPr>
    </w:p>
    <w:p w14:paraId="5AE61132">
      <w:pPr>
        <w:keepNext w:val="0"/>
        <w:keepLines w:val="0"/>
        <w:pageBreakBefore w:val="0"/>
        <w:kinsoku/>
        <w:wordWrap/>
        <w:overflowPunct/>
        <w:topLinePunct w:val="0"/>
        <w:autoSpaceDE/>
        <w:autoSpaceDN/>
        <w:bidi w:val="0"/>
        <w:adjustRightInd/>
        <w:snapToGrid/>
        <w:spacing w:line="360" w:lineRule="auto"/>
        <w:ind w:firstLine="420" w:firstLineChars="200"/>
        <w:jc w:val="both"/>
        <w:rPr>
          <w:rFonts w:hint="eastAsia"/>
          <w:color w:val="0000FF"/>
          <w:sz w:val="21"/>
          <w:szCs w:val="21"/>
          <w:lang w:val="en-US" w:eastAsia="zh-CN"/>
        </w:rPr>
      </w:pPr>
      <w:r>
        <w:rPr>
          <w:rFonts w:hint="eastAsia"/>
          <w:color w:val="0000FF"/>
          <w:sz w:val="21"/>
          <w:szCs w:val="21"/>
          <w:lang w:val="en-US" w:eastAsia="zh-CN"/>
        </w:rPr>
        <w:t>对照样本施以常规饮片汤剂干预，方选柴胡疏肝散合左金丸化裁；其基础组方涵盖柴胡、枳壳、香附及陈皮各十克，白芍十二克，黄连六克，吴茱萸与炙甘草均三克（注：此处原文炙甘草为6g，修正为六克），另配海螵蛸十五克、白及十克以及佛手十克。所需药材皆由本院中药房统一调配并规范煎煮，每剂浓缩至四百毫升药液；嘱患者于早晚饭后温服，日服一剂，单次剂量为二百毫升。</w:t>
      </w:r>
    </w:p>
    <w:p w14:paraId="77F82754">
      <w:pPr>
        <w:keepNext w:val="0"/>
        <w:keepLines w:val="0"/>
        <w:pageBreakBefore w:val="0"/>
        <w:kinsoku/>
        <w:wordWrap/>
        <w:overflowPunct/>
        <w:topLinePunct w:val="0"/>
        <w:autoSpaceDE/>
        <w:autoSpaceDN/>
        <w:bidi w:val="0"/>
        <w:adjustRightInd/>
        <w:snapToGrid/>
        <w:spacing w:line="360" w:lineRule="auto"/>
        <w:ind w:firstLine="420" w:firstLineChars="200"/>
        <w:jc w:val="both"/>
        <w:rPr>
          <w:rFonts w:hint="eastAsia"/>
          <w:color w:val="0000FF"/>
          <w:sz w:val="21"/>
          <w:szCs w:val="21"/>
          <w:lang w:val="en-US" w:eastAsia="zh-CN"/>
        </w:rPr>
      </w:pPr>
    </w:p>
    <w:p w14:paraId="021B8220">
      <w:pPr>
        <w:keepNext w:val="0"/>
        <w:keepLines w:val="0"/>
        <w:pageBreakBefore w:val="0"/>
        <w:kinsoku/>
        <w:wordWrap/>
        <w:overflowPunct/>
        <w:topLinePunct w:val="0"/>
        <w:autoSpaceDE/>
        <w:autoSpaceDN/>
        <w:bidi w:val="0"/>
        <w:adjustRightInd/>
        <w:snapToGrid/>
        <w:spacing w:line="360" w:lineRule="auto"/>
        <w:ind w:firstLine="420" w:firstLineChars="200"/>
        <w:jc w:val="both"/>
        <w:rPr>
          <w:rFonts w:hint="eastAsia"/>
          <w:color w:val="0000FF"/>
          <w:sz w:val="21"/>
          <w:szCs w:val="21"/>
          <w:lang w:val="en-US" w:eastAsia="zh-CN"/>
        </w:rPr>
      </w:pPr>
      <w:r>
        <w:rPr>
          <w:rFonts w:hint="eastAsia"/>
          <w:color w:val="0000FF"/>
          <w:sz w:val="21"/>
          <w:szCs w:val="21"/>
          <w:lang w:val="en-US" w:eastAsia="zh-CN"/>
        </w:rPr>
        <w:t>1.3 观察指标</w:t>
      </w:r>
    </w:p>
    <w:p w14:paraId="15F2094C">
      <w:pPr>
        <w:keepNext w:val="0"/>
        <w:keepLines w:val="0"/>
        <w:pageBreakBefore w:val="0"/>
        <w:kinsoku/>
        <w:wordWrap/>
        <w:overflowPunct/>
        <w:topLinePunct w:val="0"/>
        <w:autoSpaceDE/>
        <w:autoSpaceDN/>
        <w:bidi w:val="0"/>
        <w:adjustRightInd/>
        <w:snapToGrid/>
        <w:spacing w:line="360" w:lineRule="auto"/>
        <w:ind w:firstLine="420" w:firstLineChars="200"/>
        <w:jc w:val="both"/>
        <w:rPr>
          <w:rFonts w:hint="eastAsia"/>
          <w:color w:val="0000FF"/>
          <w:sz w:val="21"/>
          <w:szCs w:val="21"/>
          <w:lang w:val="en-US" w:eastAsia="zh-CN"/>
        </w:rPr>
      </w:pPr>
      <w:r>
        <w:rPr>
          <w:rFonts w:hint="eastAsia"/>
          <w:color w:val="0000FF"/>
          <w:sz w:val="21"/>
          <w:szCs w:val="21"/>
          <w:lang w:val="en-US" w:eastAsia="zh-CN"/>
        </w:rPr>
        <w:t>①临床治疗总有效率：</w:t>
      </w:r>
      <w:r>
        <w:rPr>
          <w:rFonts w:hint="eastAsia"/>
          <w:color w:val="0000FF"/>
          <w:sz w:val="21"/>
          <w:szCs w:val="21"/>
          <w:lang w:val="en-US" w:eastAsia="zh-CN"/>
        </w:rPr>
        <w:t>依据《中药新药临床研究指导原则》，以胃镜复查所见为疗效评价基准，将结局划分为痊愈、显效、有效及无效四个等级，并据此核算总体有效率；②中医证候量化评估：针对胃脘胀满疼痛、泛酸嘈杂、嗳气、口苦及食欲减退等核心与伴随症候，分别于干预前后实施分级赋分，所得累计分值与病情严重程度呈正相关；</w:t>
      </w:r>
    </w:p>
    <w:p w14:paraId="6C77EF72">
      <w:pPr>
        <w:keepNext w:val="0"/>
        <w:keepLines w:val="0"/>
        <w:pageBreakBefore w:val="0"/>
        <w:kinsoku/>
        <w:wordWrap/>
        <w:overflowPunct/>
        <w:topLinePunct w:val="0"/>
        <w:autoSpaceDE/>
        <w:autoSpaceDN/>
        <w:bidi w:val="0"/>
        <w:adjustRightInd/>
        <w:snapToGrid/>
        <w:spacing w:line="360" w:lineRule="auto"/>
        <w:ind w:firstLine="420" w:firstLineChars="200"/>
        <w:jc w:val="both"/>
        <w:rPr>
          <w:rFonts w:hint="eastAsia"/>
          <w:color w:val="0000FF"/>
          <w:sz w:val="21"/>
          <w:szCs w:val="21"/>
          <w:lang w:val="en-US" w:eastAsia="zh-CN"/>
        </w:rPr>
      </w:pPr>
      <w:r>
        <w:rPr>
          <w:rFonts w:hint="eastAsia"/>
          <w:color w:val="0000FF"/>
          <w:sz w:val="21"/>
          <w:szCs w:val="21"/>
          <w:lang w:val="en-US" w:eastAsia="zh-CN"/>
        </w:rPr>
        <w:t>1.4 统计学方法</w:t>
      </w:r>
    </w:p>
    <w:p w14:paraId="590F7F5E">
      <w:pPr>
        <w:keepNext w:val="0"/>
        <w:keepLines w:val="0"/>
        <w:pageBreakBefore w:val="0"/>
        <w:kinsoku/>
        <w:wordWrap/>
        <w:overflowPunct/>
        <w:topLinePunct w:val="0"/>
        <w:autoSpaceDE/>
        <w:autoSpaceDN/>
        <w:bidi w:val="0"/>
        <w:adjustRightInd/>
        <w:snapToGrid/>
        <w:spacing w:line="360" w:lineRule="auto"/>
        <w:ind w:firstLine="420" w:firstLineChars="200"/>
        <w:jc w:val="both"/>
        <w:rPr>
          <w:rFonts w:hint="eastAsia"/>
          <w:color w:val="0000FF"/>
          <w:sz w:val="21"/>
          <w:szCs w:val="21"/>
          <w:lang w:val="en-US" w:eastAsia="zh-CN"/>
        </w:rPr>
      </w:pPr>
      <w:r>
        <w:rPr>
          <w:rFonts w:hint="eastAsia"/>
          <w:color w:val="0000FF"/>
          <w:sz w:val="21"/>
          <w:szCs w:val="21"/>
          <w:lang w:val="en-US" w:eastAsia="zh-CN"/>
        </w:rPr>
        <w:t>借助SPSS 22.0程序开展统计处理</w:t>
      </w:r>
      <w:r>
        <w:rPr>
          <w:rFonts w:ascii="宋体" w:hAnsi="宋体" w:cs="宋体" w:hint="eastAsia"/>
          <w:color w:val="0000FF"/>
          <w:position w:val="-6"/>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16.5pt" o:oleicon="f" o:ole="" coordsize="21600,21600" o:preferrelative="t" filled="f" stroked="f">
            <v:stroke joinstyle="miter"/>
            <v:imagedata r:id="rId4" o:title=""/>
            <o:lock v:ext="edit" aspectratio="t"/>
            <w10:anchorlock/>
          </v:shape>
          <o:OLEObject Type="Embed" ProgID="Equation.3" ShapeID="_x0000_i1025" DrawAspect="Content" ObjectID="_1468075725" r:id="rId5"/>
        </w:object>
      </w:r>
      <w:r>
        <w:rPr>
          <w:rFonts w:ascii="宋体" w:hAnsi="宋体" w:cs="宋体" w:hint="eastAsia"/>
          <w:color w:val="0000FF"/>
          <w:szCs w:val="21"/>
        </w:rPr>
        <w:t>，</w:t>
      </w:r>
      <w:r>
        <w:rPr>
          <w:rFonts w:ascii="宋体" w:hAnsi="宋体" w:cs="宋体"/>
          <w:color w:val="0000FF"/>
          <w:szCs w:val="21"/>
        </w:rPr>
        <w:t>计</w:t>
      </w:r>
      <w:r>
        <w:rPr>
          <w:rFonts w:hint="eastAsia"/>
          <w:color w:val="0000FF"/>
          <w:sz w:val="21"/>
          <w:szCs w:val="21"/>
          <w:lang w:val="en-US" w:eastAsia="zh-CN"/>
        </w:rPr>
        <w:t>量型指标以均数±标准差形式呈现</w:t>
      </w:r>
      <w:r>
        <w:rPr>
          <w:rFonts w:ascii="宋体" w:eastAsia="宋体" w:hAnsi="宋体" w:cs="宋体" w:hint="eastAsia"/>
          <w:b w:val="0"/>
          <w:bCs/>
          <w:color w:val="0000FF"/>
          <w:sz w:val="21"/>
          <w:szCs w:val="21"/>
        </w:rPr>
        <w:t>，</w:t>
      </w:r>
      <w:r>
        <w:rPr>
          <w:rFonts w:hint="eastAsia"/>
          <w:color w:val="0000FF"/>
          <w:sz w:val="21"/>
          <w:szCs w:val="21"/>
          <w:lang w:val="en-US" w:eastAsia="zh-CN"/>
        </w:rPr>
        <w:t>并采用t检验法加以比较。</w:t>
      </w:r>
    </w:p>
    <w:p w14:paraId="6BAF7B02">
      <w:pPr>
        <w:keepNext w:val="0"/>
        <w:keepLines w:val="0"/>
        <w:pageBreakBefore w:val="0"/>
        <w:kinsoku/>
        <w:wordWrap/>
        <w:overflowPunct/>
        <w:topLinePunct w:val="0"/>
        <w:autoSpaceDE/>
        <w:autoSpaceDN/>
        <w:bidi w:val="0"/>
        <w:adjustRightInd/>
        <w:snapToGrid/>
        <w:spacing w:line="360" w:lineRule="auto"/>
        <w:ind w:firstLine="420" w:firstLineChars="200"/>
        <w:jc w:val="both"/>
        <w:rPr>
          <w:rFonts w:hint="eastAsia"/>
          <w:color w:val="0000FF"/>
          <w:sz w:val="21"/>
          <w:szCs w:val="21"/>
          <w:lang w:val="en-US" w:eastAsia="zh-CN"/>
        </w:rPr>
      </w:pPr>
    </w:p>
    <w:p w14:paraId="4249F675">
      <w:pPr>
        <w:keepNext w:val="0"/>
        <w:keepLines w:val="0"/>
        <w:pageBreakBefore w:val="0"/>
        <w:kinsoku/>
        <w:wordWrap/>
        <w:overflowPunct/>
        <w:topLinePunct w:val="0"/>
        <w:autoSpaceDE/>
        <w:autoSpaceDN/>
        <w:bidi w:val="0"/>
        <w:adjustRightInd/>
        <w:snapToGrid/>
        <w:spacing w:line="360" w:lineRule="auto"/>
        <w:ind w:firstLine="420" w:firstLineChars="200"/>
        <w:jc w:val="both"/>
        <w:rPr>
          <w:rFonts w:hint="eastAsia"/>
          <w:color w:val="0000FF"/>
          <w:sz w:val="21"/>
          <w:szCs w:val="21"/>
          <w:lang w:val="en-US" w:eastAsia="zh-CN"/>
        </w:rPr>
      </w:pPr>
      <w:r>
        <w:rPr>
          <w:rFonts w:hint="eastAsia"/>
          <w:color w:val="0000FF"/>
          <w:sz w:val="21"/>
          <w:szCs w:val="21"/>
          <w:lang w:val="en-US" w:eastAsia="zh-CN"/>
        </w:rPr>
        <w:t>临床治疗应以疏肝理气、清热和胃、制酸护膜、敛疮生肌为原则</w:t>
      </w:r>
      <w:bookmarkStart w:id="0" w:name="_GoBack"/>
      <w:bookmarkEnd w:id="0"/>
    </w:p>
    <w:p w14:paraId="5BD8CC5D">
      <w:pPr>
        <w:rPr>
          <w:rFonts w:hint="eastAsia"/>
          <w:color w:val="0000FF"/>
          <w:sz w:val="21"/>
          <w:szCs w:val="21"/>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4F6E79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wmf" /><Relationship Id="rId5" Type="http://schemas.openxmlformats.org/officeDocument/2006/relationships/oleObject" Target="embeddings/oleObject1.bin"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2026-10-13T02:17:35Z</dcterms:created>
  <dcterms:modified xsi:type="dcterms:W3CDTF">2026-10-13T02:21:46Z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04C6DAB54A6A45C0B6429806D010346B_12</vt:lpwstr>
  </property>
  <property fmtid="{D5CDD505-2E9C-101B-9397-08002B2CF9AE}" pid="3" name="KSOProductBuildVer">
    <vt:lpwstr>2052-12.1.0.28505</vt:lpwstr>
  </property>
  <property fmtid="{D5CDD505-2E9C-101B-9397-08002B2CF9AE}" pid="4" name="KSOTemplateDocerSaveRecord">
    <vt:lpwstr>eyJoZGlkIjoiOWM2ZjI5OGUwOGE0ZmQ2OWZhMDc0NTRkNTkzMzU3YWIiLCJ1c2VySWQiOiIzNTE1MDQ0MzAifQ==</vt:lpwstr>
  </property>
</Properties>
</file>