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9905D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rPr>
        <w:t>代理记账企业服务营销体系构建与优化</w:t>
      </w:r>
    </w:p>
    <w:p w14:paraId="5A43D3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摘要：</w:t>
      </w:r>
      <w:r>
        <w:rPr>
          <w:rFonts w:ascii="宋体" w:eastAsia="宋体" w:hAnsi="宋体" w:cs="宋体" w:hint="eastAsia"/>
          <w:i w:val="0"/>
          <w:iCs w:val="0"/>
          <w:caps w:val="0"/>
          <w:color w:val="000000"/>
          <w:spacing w:val="0"/>
          <w:sz w:val="21"/>
          <w:szCs w:val="21"/>
          <w:shd w:val="clear" w:color="auto" w:fill="FFFFFF"/>
          <w:lang w:val="en-US" w:eastAsia="zh-CN"/>
        </w:rPr>
        <w:t>代理记账行业正在从“资质红利”转向“服务竞争”，建立和完善服务营销体系已经成为企业生存和发展的关键问题。本文以代理记账企业为研究对象，从行业背景和营销形态入手，分析出代理记账企业营销定位不清、客户价值感知偏差、组织能力滞后、数字化支撑薄弱等问题，从客户分层、产品矩阵、数字工具、专业人才四个方面提出优化策略，以价值深耕代替流量拼抢、以业财税一体化代替单一代账、以全流程透明代替黑箱交付、以长效口碑代替关系营销，为企业打造可落地、可持续的服务营销体系提供思路参考，推动行业由价格竞争走向价值竞争。</w:t>
      </w:r>
    </w:p>
    <w:p w14:paraId="27420E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关键词：代理记账；服务营销；业财税一体化；数字化转型</w:t>
      </w:r>
    </w:p>
    <w:p w14:paraId="33AE8F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营商环境不断改善、中小微企业数量急剧增加，给代理记账行业创造了广阔的市场，也使它进入了充分竞争的深水区。低价揽客、资质挂靠等粗放式经营方式已经不能适应市场的发展要求，客户对于财务合规性、税务合规性和经营赋能的需求越来越高，服务营销已经由原来的辅助性工作变成了决定企业生存和发展的战略工程。怎样把服务能力变成客户可以感知的价值，让营销不再只是获得客户的短期手段，而是贯穿客户整个生命周期的长期经营，成为每一个代理记账企业都必须面对的课题。本文主要围绕以上问题展开论述，从行业背景、营销现状、体系运行中存在的问题、优化路径四个方面进行分析。</w:t>
      </w:r>
    </w:p>
    <w:p w14:paraId="65607A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一、代理记账企业服务营销的行业背景与现实轮廓</w:t>
      </w:r>
    </w:p>
    <w:p w14:paraId="684C3C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（一）监管趋严与行业洗牌并行的营销新常态</w:t>
      </w:r>
    </w:p>
    <w:p w14:paraId="1DE261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代理记账行业已经不是十年前凭执照、几台电脑就可以开业的模式了。伴随着执业许可管理趋严、行业信用评价逐渐推行，无证经营、低价倾销、账实不符等乱象被有序清理，市场准入和退出机制越来越硬化；金税四期上线、全面数字化电子发票快速推广，新修订的会计法规不断落地，监管的颗粒度也越来越高。这组变量叠加起来，使行业陷入一场深刻的洗牌之中，依靠低价和关系维生的企业被慢慢淘汰，真正拥有专业交付和客户经营能力的企业迎来了难得的窗口期。同时存量市场特征越来越明显，获客成本不断上升，客户在不断的比价中变得越来越谨慎，行业的分化也越来越明显，头部机构依靠规模和品牌占据优质的客户，中小机构在价格和服务之间寻找出路。营销由原来的获客敲门砖变成了检验企业整体竞争力的试金石，谁先建立起适应新环境的营销体系，谁就会在洗牌中占据主动。就政策而言，国家一直推动代理记账行业规范有序发展，促使机构朝着专业化、规模化方向前进，这就给有准备的企业赋予了明确的政策窗口。</w:t>
      </w:r>
    </w:p>
    <w:p w14:paraId="4D44D6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（二）服务营销体系的基本构成与运行形态</w:t>
      </w:r>
    </w:p>
    <w:p w14:paraId="35F5D2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服务营销体系不是营销部门的单打独斗，是产品设计、价格策略、渠道触达、服务交付、客户关系等各方面的有机组合。对于代理记账企业来说，它至少包含三个层面，即产品层、触达层和运营层。产品层就是根据不同的客户群体来设计不同的记账、报税、咨询、赋能服务，触达层就是通过线下走访、财税讲座、社群运营、内容传播等方式与客户建立联系，运营层就是依靠客户档案、服务流程、回访机制来维系和加深客户关系。三个层面并不是彼此孤立的，产品层决定价值的厚度，触达层决定价值的到达，运营层决定价值的延续，只有三者贯通，营销才能形成持续进化的闭环。但是从运行形态上看，大多数企业仍然以“销售驱动”为主，营销资源主要集中在前端的签约环节上，对于签约之后的价值实现和二次经营重视不够；很多企业把营销简单地理解为“拉客户”，把一次签单当作终点，后续的服务只是例行公事。产品、触达、运营互相割裂，体系内部各个部分还没有形成闭环，这也是后面很多问题产生的土壤。需要认识到的是，体系的价值不单是各个要素齐全，更重要的是各个要素之间的契合和一致，否则即使配置齐全，也不能产生协同效应。</w:t>
      </w:r>
    </w:p>
    <w:p w14:paraId="4A31F0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二、当前服务营销体系运行中的突出短板</w:t>
      </w:r>
    </w:p>
    <w:p w14:paraId="2F5B4D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（一）客户画像粗放，价值分层流于形式</w:t>
      </w:r>
    </w:p>
    <w:p w14:paraId="3D1D2A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大多数企业的客户画像还停留在规模、行业、地区等浅层标签上，不能对客户进行有效的分层，也无法确定合理的客户服务强度。营销资源在各个客户身上平均分配，高价值客户留不住，可以挖掘的深层次合作机会也被白白浪费掉了。由于缺少统一、动态的客户档案，价值分层和精细化运营只是停留在设想上，没有落实到具体的抓手上，更谈不上根据这些抓手来配置不同的服务内容和营销策略，客户经营一直处在“一视同仁、来者不拒”的粗放模式中。</w:t>
      </w:r>
    </w:p>
    <w:p w14:paraId="4FCA99E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（二）产品结构单一，业财税服务乏力</w:t>
      </w:r>
    </w:p>
    <w:p w14:paraId="078976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服务产品长期以来只是基本的记账和报税，工商代办、税务筹划、财务外包等延伸服务很少，业财税一体化服务更是少见。企业面对客户不断变化的合规和经营需求的时候，只能拱手让渡机会，产品同质化使得议价能力不断下降。营收结构单一、抗风险能力弱、服务升级无依托，不能形成差异化营销定位。长期如此，企业既不能留住那些有成长性、综合服务需求的客户，又不能在价格战中形成自己的竞争优势，营销只能停留在低水平的“抢客户”上。</w:t>
      </w:r>
    </w:p>
    <w:p w14:paraId="33B0B5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（三）交付全程黑箱，数字工具应用滞后</w:t>
      </w:r>
    </w:p>
    <w:p w14:paraId="15646F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做账、报税等交付过程对客户近乎黑箱，进度不明、结果难查，信任靠口头沟通维系。代账软件虽然已经普及，但是还停留在开票、记账等单点操作上，并没有为客户提供服务门户、进度追踪和风险预警等功能，使服务无形化的难题被进一步放大，数字化对营销的支撑作用还没有被充分释放出来，透明化服务承诺也无从谈起。客户看不到服务的过程，也就不能感受到服务的价值，续约和转介绍缺少直观的依据，数字化本来可以成为营销的加分项，现在反而成了体验升级的短板。</w:t>
      </w:r>
    </w:p>
    <w:p w14:paraId="71DBA2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（四）人才梯队断层，口碑营销后继乏力</w:t>
      </w:r>
    </w:p>
    <w:p w14:paraId="61C7CE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既懂财税又善沟通的复合型人才本来就少，队伍的成长依靠个人的经验，骨干一旦离职就会带走客户关系。缺少系统的培养、轮岗、考核机制，服务质量良莠不齐，客户满意和转介绍不能形成稳定的循环。以口碑为基础的长期营销缺少稳定的人力基础，营销体系的不断更新也缺乏持续的动力，低水平的竞争和人才流失互相加强，口碑红利也就无从谈起。专业能力不能形成组织资产，也不能变成可以复制、可以持续的竞争力。</w:t>
      </w:r>
    </w:p>
    <w:p w14:paraId="54537C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三、代理记账企业服务营销体系的优化路径</w:t>
      </w:r>
    </w:p>
    <w:p w14:paraId="172521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（一）以客户分层为基，变“流量拼抢”为“价值深耕”</w:t>
      </w:r>
    </w:p>
    <w:p w14:paraId="252FE3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客户资源不是一堆糊涂账，分层运营才是服务营销的起点。企业可以按照客户规模、行业性质、服务程度、付费意愿这四个方面的标准，把客户分成基础代账层、规范顾问层、经营赋能层、战略合作层这四个层次，然后给各个层次的客户提供不同的服务内容和服务策略。对基础层客户重在标准化交付和流程透明，用账单化的方式逐月展示服务明细，用看得见的规范留住客户；对规范顾问层，围绕财税合规体检、涉税风险提示建立月度沟通机制，把发现问题、给出方案的顾问服务显性化；对经营赋能层，进一步嵌入经营分析、预算管理、融资对接等增值动作，使财务数据真正成为客户经营决策的抓手；对战略合作层，组建专属服务小组，提供业财税一体化的深度方案</w:t>
      </w:r>
      <w:r>
        <w:rPr>
          <w:rFonts w:ascii="宋体" w:eastAsia="宋体" w:hAnsi="宋体" w:cs="宋体" w:hint="eastAsia"/>
          <w:i w:val="0"/>
          <w:iCs w:val="0"/>
          <w:caps w:val="0"/>
          <w:color w:val="000000"/>
          <w:spacing w:val="0"/>
          <w:sz w:val="21"/>
          <w:szCs w:val="21"/>
          <w:shd w:val="clear" w:color="auto" w:fill="FFFFFF"/>
          <w:vertAlign w:val="superscript"/>
          <w:lang w:val="en-US" w:eastAsia="zh-CN"/>
        </w:rPr>
        <w:t>[1]</w:t>
      </w:r>
      <w:r>
        <w:rPr>
          <w:rFonts w:ascii="宋体" w:eastAsia="宋体" w:hAnsi="宋体" w:cs="宋体" w:hint="eastAsia"/>
          <w:i w:val="0"/>
          <w:iCs w:val="0"/>
          <w:caps w:val="0"/>
          <w:color w:val="000000"/>
          <w:spacing w:val="0"/>
          <w:sz w:val="21"/>
          <w:szCs w:val="21"/>
          <w:shd w:val="clear" w:color="auto" w:fill="FFFFFF"/>
          <w:lang w:val="en-US" w:eastAsia="zh-CN"/>
        </w:rPr>
        <w:t>。分层的意义不在于给客户贴标签，而在于使每一个客户都能在恰当的服务强度中感受到价值，使营销资源从平均用力转向精准投放。企业在实际操作中可以利用CRM系统给每一个客户创建动态的画像，按季度对分层的结果进行复盘，并据此对服务内容和服务收费区间做出相应的调整，从而使得价值深耕有据可依、有迹可循。需要指出的是分层不是一成不变的，客户规模扩大或者需求改变的时候，就应及时改变其所属的层级，保证服务同客户实际状况相符。根据不同的层次，营销触达的频次和方式也应当区别对待，对基础层客户以线上推送为主，减少打扰，对高价值客户增加上门拜访和专题研讨，使服务投入与客户价值相匹配。</w:t>
      </w:r>
    </w:p>
    <w:p w14:paraId="65699C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（二）以产品矩阵为纲，变“单一代账”为“业财税一体”</w:t>
      </w:r>
    </w:p>
    <w:p w14:paraId="370D1D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低价代账的天花板即将被打破，只有产品升级才是破局之法。企业应该从“只做账、只报税”的惯性思维中走出来，从客户全生命周期的财税需求出发来重新构建产品体系。横向上，在传统的代理记账的基础上，可以增加工商代办、社保公积金托管、政策补贴申报、税务筹划咨询、内部审计、财务外包等相关的服务项目；纵向上，根据电商、餐饮、制造、建筑等行业特点来开发行业化的产品和服务</w:t>
      </w:r>
      <w:r>
        <w:rPr>
          <w:rFonts w:ascii="宋体" w:eastAsia="宋体" w:hAnsi="宋体" w:cs="宋体" w:hint="eastAsia"/>
          <w:i w:val="0"/>
          <w:iCs w:val="0"/>
          <w:caps w:val="0"/>
          <w:color w:val="000000"/>
          <w:spacing w:val="0"/>
          <w:sz w:val="21"/>
          <w:szCs w:val="21"/>
          <w:shd w:val="clear" w:color="auto" w:fill="FFFFFF"/>
          <w:vertAlign w:val="superscript"/>
          <w:lang w:val="en-US" w:eastAsia="zh-CN"/>
        </w:rPr>
        <w:t>[2]</w:t>
      </w:r>
      <w:r>
        <w:rPr>
          <w:rFonts w:ascii="宋体" w:eastAsia="宋体" w:hAnsi="宋体" w:cs="宋体" w:hint="eastAsia"/>
          <w:i w:val="0"/>
          <w:iCs w:val="0"/>
          <w:caps w:val="0"/>
          <w:color w:val="000000"/>
          <w:spacing w:val="0"/>
          <w:sz w:val="21"/>
          <w:szCs w:val="21"/>
          <w:shd w:val="clear" w:color="auto" w:fill="FFFFFF"/>
          <w:lang w:val="en-US" w:eastAsia="zh-CN"/>
        </w:rPr>
        <w:t>。产品矩阵的搭建不是简单的叠加，而应该遵循“入口产品-利润产品-标杆产品”的递进逻辑，以低门槛的记账服务作为获客入口，以财税咨询和合规服务作为利润来源，以可复制、可展示的标杆案例作为品牌背书。营销环节由原来的“推产品”转变为“讲场景”，围绕客户真实的痛点来设计服务包，用可量化的价值主张，比如省下多少税负、规避多少风险、节省多少人手等来打动客户，使产品本身成为最有说服力的营销话术。企业应该定期根据客户反馈和市场变化来调整产品组合，淘汰低效项目，把有限的资源投入到客户真正愿意为之付费的服务中去。定价策略上应该从原来的只按账套收费转变为基本费加增值费的分段收费，使客户清楚地知道各个价位之间服务的界限，也为后续的交叉销售留有余地。</w:t>
      </w:r>
    </w:p>
    <w:p w14:paraId="0472FB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（三）以数字工具为翼，变“黑箱交付”为“全程透明”</w:t>
      </w:r>
    </w:p>
    <w:p w14:paraId="4B186D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服务看不见、摸不着，是代理记账营销最大的障碍，而数字化恰恰是克服这一障碍的钥匙。企业应该积极引入代账SaaS平台和客户服务系统，把原来封闭的内部动作，如报税完成、账本归档等，变成客户可以看见、可以查证、可以追溯的服务证据。一方面建立在线服务门户，客户可以随时查看做账进度、申报结果、税务预警和财务报表，使每一项交付都有迹可循、可查证；另一方面建立工单和回访制度，把服务过程拆解成可以跟踪的任务节点，逾期提醒、完成告知等流程变得确定起来，从而对冲服务的无形性。企业还可以利用数据中台对客户的账务进行风险扫描，主动给客户推送税务风险提示和整改建议，这样的做法本身就是最好的营销。企业在实践中应该选择符合自身规模和预算的工具，先打好报税、做账、沟通这三个高频环节，然后再逐步扩展到经营分析、客户画像等高级应用上，防止因为数字化而数字化，使工具真正服务于体验的提升。依靠数据沉淀，企业可以准确找出高频咨询和常见风险点，从而反哺服务改进和服务产品设计，使数字化投入变成可量化的经营成果</w:t>
      </w:r>
      <w:r>
        <w:rPr>
          <w:rFonts w:ascii="宋体" w:eastAsia="宋体" w:hAnsi="宋体" w:cs="宋体" w:hint="eastAsia"/>
          <w:i w:val="0"/>
          <w:iCs w:val="0"/>
          <w:caps w:val="0"/>
          <w:color w:val="000000"/>
          <w:spacing w:val="0"/>
          <w:sz w:val="21"/>
          <w:szCs w:val="21"/>
          <w:shd w:val="clear" w:color="auto" w:fill="FFFFFF"/>
          <w:vertAlign w:val="superscript"/>
          <w:lang w:val="en-US" w:eastAsia="zh-CN"/>
        </w:rPr>
        <w:t>[3]</w:t>
      </w:r>
      <w:r>
        <w:rPr>
          <w:rFonts w:ascii="宋体" w:eastAsia="宋体" w:hAnsi="宋体" w:cs="宋体" w:hint="eastAsia"/>
          <w:i w:val="0"/>
          <w:iCs w:val="0"/>
          <w:caps w:val="0"/>
          <w:color w:val="000000"/>
          <w:spacing w:val="0"/>
          <w:sz w:val="21"/>
          <w:szCs w:val="21"/>
          <w:shd w:val="clear" w:color="auto" w:fill="FFFFFF"/>
          <w:lang w:val="en-US" w:eastAsia="zh-CN"/>
        </w:rPr>
        <w:t>。需要指出的是，数字化不能只是堆砌功能，企业还要对客服人员进行系统的培训，使客服人员能够熟练地使用系统进行主动沟通，防止工具上线之后反而成为机构和客户之间的又一道障碍。</w:t>
      </w:r>
    </w:p>
    <w:p w14:paraId="1C3D4E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（四）以专业人才为本，变“关系营销”为“口碑长效”</w:t>
      </w:r>
    </w:p>
    <w:p w14:paraId="5C90D8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营销的基础最终还是要落到人身上</w:t>
      </w:r>
      <w:bookmarkStart w:id="0" w:name="_GoBack"/>
      <w:bookmarkEnd w:id="0"/>
      <w:r>
        <w:rPr>
          <w:rFonts w:ascii="宋体" w:eastAsia="宋体" w:hAnsi="宋体" w:cs="宋体" w:hint="eastAsia"/>
          <w:i w:val="0"/>
          <w:iCs w:val="0"/>
          <w:caps w:val="0"/>
          <w:color w:val="000000"/>
          <w:spacing w:val="0"/>
          <w:sz w:val="21"/>
          <w:szCs w:val="21"/>
          <w:shd w:val="clear" w:color="auto" w:fill="FFFFFF"/>
          <w:lang w:val="en-US" w:eastAsia="zh-CN"/>
        </w:rPr>
        <w:t>，代理记账企业最核心的竞争优势就是专业交付的能力。当低价、关系都无法成为护城河的时候，持续培养一支既懂财税又懂客户、又懂营销的复合型队伍，就成为最可靠的竞争力壁垒。因此企业应该把人才培育纳入到营销体系的顶层设计当中来，即建立财税专业、客户沟通、营销技能三者轮岗和培训机制，促使交付人员走向一线去了解客户，引导营销人员下沉到做账中去理解业务，从而打破部门间的壁垒，对外引进有行业经验的财税顾问、数字化运营人才来弥补传统团队的结构缺陷。激励机制也需要重新设计，把客户满意度、续费率、转介绍率等纳入考核范围，使服务好一个老客户和开发一个新客户同样重要。更值得肯定的是树立口碑经营的长期主义，用客户成功案例的沉淀、行业白皮书的输出、财税知识讲座的常态化开展等方式慢慢积累品牌资产。当口碑形成正循环，老客户主动转介绍、新客户慕名而来，营销就由烧钱的被动获客变成低成本的主动生长。只有每一位员工都成了专业和口碑的代言人，服务营销体系才会拥有最深厚的、最持久的生命力</w:t>
      </w:r>
      <w:r>
        <w:rPr>
          <w:rFonts w:ascii="宋体" w:eastAsia="宋体" w:hAnsi="宋体" w:cs="宋体" w:hint="eastAsia"/>
          <w:i w:val="0"/>
          <w:iCs w:val="0"/>
          <w:caps w:val="0"/>
          <w:color w:val="000000"/>
          <w:spacing w:val="0"/>
          <w:sz w:val="21"/>
          <w:szCs w:val="21"/>
          <w:shd w:val="clear" w:color="auto" w:fill="FFFFFF"/>
          <w:vertAlign w:val="superscript"/>
          <w:lang w:val="en-US" w:eastAsia="zh-CN"/>
        </w:rPr>
        <w:t>[4]</w:t>
      </w:r>
      <w:r>
        <w:rPr>
          <w:rFonts w:ascii="宋体" w:eastAsia="宋体" w:hAnsi="宋体" w:cs="宋体" w:hint="eastAsia"/>
          <w:i w:val="0"/>
          <w:iCs w:val="0"/>
          <w:caps w:val="0"/>
          <w:color w:val="000000"/>
          <w:spacing w:val="0"/>
          <w:sz w:val="21"/>
          <w:szCs w:val="21"/>
          <w:shd w:val="clear" w:color="auto" w:fill="FFFFFF"/>
          <w:lang w:val="en-US" w:eastAsia="zh-CN"/>
        </w:rPr>
        <w:t>。管理者自身也要以身作则，把服务营销的理念融入到日常经营决策当中，不能只是停留在口号上。企业还可以利用满意度回访、老带新奖励等手段，把一次满意的服务变成持续的客源，使口碑成为体系自我强化的引擎。</w:t>
      </w:r>
    </w:p>
    <w:p w14:paraId="0B97FD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结语</w:t>
      </w:r>
    </w:p>
    <w:p w14:paraId="5875AC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服务营销体系的建立从来不是由营销部门单打独斗完成的，它需要代理记账企业战略、产品、组织、技术、人才等各个方面的系统性重组。从客户分层、产品矩阵、数字工具、专业人才四个方面相互支撑、互相促进，共同指向一个目的，即使服务被看见、被信任、被依赖。随着金税四期不断推进，中小微企业的财税合规需求不断升级，客户也不再仅仅看重代账的基础费用，而更看重风险控制、经营咨询等增值服务。当价格战的硝烟散去之后，真正能够留下来的企业，是把客户的价值放在首位、把专业能力作为底色的企业。代理记账行业未来的出路不是低价，而是价值创造。希望更多的企业从本次思考出发，根据自身的优势和区域市场的特点，走一条务实、可持续的服务营销升级之路，在行业转型的大潮中巩固自身的长期竞争优势。</w:t>
      </w:r>
    </w:p>
    <w:p w14:paraId="1BC64B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参考文献：</w:t>
      </w:r>
    </w:p>
    <w:p w14:paraId="54359E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[1]罗文.H代理记账公司服务营销策略优化研究[D].江西财经大学,2025.</w:t>
      </w:r>
    </w:p>
    <w:p w14:paraId="7A7C9D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[2]许倩.J代理记账公司服务营销策略研究[D].南京理工大学,2025.</w:t>
      </w:r>
    </w:p>
    <w:p w14:paraId="43AE57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[3]邬丹丹.R代理记账公司服务营销策略研究[D].河北大学,2024.</w:t>
      </w:r>
    </w:p>
    <w:p w14:paraId="0D4685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[4]王小鑫.CP代理记账公司服务营销策略优化研究[D].云南师范大学,2023.</w:t>
      </w:r>
    </w:p>
    <w:p w14:paraId="7BE4BE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8291542"/>
    <w:rsid w:val="3BF0000B"/>
    <w:rsid w:val="674B39CE"/>
    <w:rsid w:val="71774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a5f57835-d475-4bd6-bd9c-a90e93938fd4</errorID>
      <errorWord>难</errorWord>
      <group>L1_Word</group>
      <groupName>字词问题</groupName>
      <ability>L2_Typo</ability>
      <abilityName>字词错误</abilityName>
      <candidateList>
        <item>难以</item>
      </candidateList>
      <explain/>
      <paraID> 7897656</paraID>
      <start>163</start>
      <end>165</end>
      <status>modified</status>
      <modifiedWord>难以</modifiedWord>
      <trackRevisions>false</trackRevisions>
    </reviewItem>
    <reviewItem>
      <errorID>2f81d06b-9b77-40d8-8ec2-009f62762c33</errorID>
      <errorWord>、还</errorWord>
      <group>L1_Punc</group>
      <groupName>标点问题</groupName>
      <ability>L2_Punc_CN</ability>
      <abilityName>标点符号问题</abilityName>
      <candidateList>
        <item>，还</item>
      </candidateList>
      <explain>连接词前后不宜使用顿号，建议使用逗号。</explain>
      <paraID>5C90D8F7</paraID>
      <start>62</start>
      <end>64</end>
      <status>modified</status>
      <modifiedWord>，还</modifiedWord>
      <trackRevisions>false</trackRevisions>
    </reviewItem>
  </reviewItems>
  <config/>
</contractReview>
</file>

<file path=customXml/itemProps1.xml><?xml version="1.0" encoding="utf-8"?>
<ds:datastoreItem xmlns:ds="http://schemas.openxmlformats.org/officeDocument/2006/customXml" ds:itemID="{62f4f7b5-85b8-4381-8fc8-52be46cab080}">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4973</Words>
  <Characters>5031</Characters>
  <Application>Microsoft Office Word</Application>
  <DocSecurity>0</DocSecurity>
  <Lines>0</Lines>
  <Paragraphs>0</Paragraphs>
  <ScaleCrop>false</ScaleCrop>
  <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2026-10-12T11:53:00Z</dcterms:created>
  <dcterms:modified xsi:type="dcterms:W3CDTF">2026-10-12T13:11:09Z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9047FB2F3F594E08A0DB831450C9281D_12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