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4FF6B13">
      <w:pPr>
        <w:keepNext w:val="0"/>
        <w:keepLines w:val="0"/>
        <w:widowControl/>
        <w:suppressLineNumbers w:val="0"/>
        <w:jc w:val="left"/>
      </w:pPr>
      <w:r>
        <w:rPr>
          <w:rFonts w:ascii="新宋体" w:eastAsia="新宋体" w:hAnsi="新宋体" w:cs="新宋体"/>
          <w:color w:val="000000"/>
          <w:kern w:val="0"/>
          <w:sz w:val="20"/>
          <w:szCs w:val="20"/>
          <w:lang w:val="en-US" w:eastAsia="zh-CN" w:bidi="ar"/>
        </w:rPr>
        <w:t xml:space="preserve">4.1.2 柔性连接 </w:t>
      </w:r>
    </w:p>
    <w:p w14:paraId="482F4251">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若主从驱动轴间经由柔性联轴器耦合，则从侧宜配置为转速调节模式。鉴于机械耦合固有的柔顺特性致使多电机转速协同难以</w:t>
      </w:r>
    </w:p>
    <w:p w14:paraId="6531D3EF">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维系，故须借助由变频器构建的驱动架构以达成精确的同步调控。此外，借助转矩下垂机制，可确保各驱动单元间负荷扭矩的均衡分</w:t>
      </w:r>
    </w:p>
    <w:p w14:paraId="4B0D853E">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担。针对精密纺织装</w:t>
      </w:r>
      <w:r>
        <w:rPr>
          <w:rFonts w:ascii="新宋体" w:eastAsia="新宋体" w:hAnsi="新宋体" w:cs="新宋体" w:hint="eastAsia"/>
          <w:color w:val="000000"/>
          <w:kern w:val="0"/>
          <w:sz w:val="20"/>
          <w:szCs w:val="20"/>
          <w:lang w:val="en-US" w:eastAsia="zh-CN" w:bidi="ar"/>
        </w:rPr>
        <w:t>备同轴电机驱动等对运转稳定性具有严苛标准的应用场景，采用基于柔性耦合机制的主从协同策略可有效……</w:t>
      </w:r>
    </w:p>
    <w:p w14:paraId="083D30DF">
      <w:pPr>
        <w:keepNext w:val="0"/>
        <w:keepLines w:val="0"/>
        <w:widowControl/>
        <w:suppressLineNumbers w:val="0"/>
        <w:jc w:val="left"/>
      </w:pPr>
      <w:r>
        <w:rPr>
          <w:rFonts w:ascii="新宋体" w:eastAsia="新宋体" w:hAnsi="新宋体" w:cs="新宋体" w:hint="eastAsia"/>
          <w:color w:val="000000"/>
          <w:kern w:val="0"/>
          <w:sz w:val="20"/>
          <w:szCs w:val="20"/>
          <w:lang w:val="en-US" w:eastAsia="zh-CN" w:bidi="ar"/>
        </w:rPr>
        <w:t xml:space="preserve">有效减少因机械振动和冲击对设备运行精度的影响。 </w:t>
      </w:r>
    </w:p>
    <w:p w14:paraId="1E889CC4">
      <w:pPr>
        <w:keepNext w:val="0"/>
        <w:keepLines w:val="0"/>
        <w:widowControl/>
        <w:suppressLineNumbers w:val="0"/>
        <w:jc w:val="left"/>
      </w:pPr>
      <w:r>
        <w:rPr>
          <w:rFonts w:ascii="新宋体" w:eastAsia="新宋体" w:hAnsi="新宋体" w:cs="新宋体" w:hint="eastAsia"/>
          <w:color w:val="000000"/>
          <w:kern w:val="0"/>
          <w:sz w:val="20"/>
          <w:szCs w:val="20"/>
          <w:lang w:val="en-US" w:eastAsia="zh-CN" w:bidi="ar"/>
        </w:rPr>
        <w:t xml:space="preserve">4.2 </w:t>
      </w:r>
      <w:r>
        <w:rPr>
          <w:rFonts w:ascii="新宋体" w:eastAsia="新宋体" w:hAnsi="新宋体" w:cs="新宋体" w:hint="eastAsia"/>
          <w:color w:val="FF0000"/>
          <w:kern w:val="0"/>
          <w:sz w:val="20"/>
          <w:szCs w:val="20"/>
          <w:lang w:val="en-US" w:eastAsia="zh-CN" w:bidi="ar"/>
        </w:rPr>
        <w:t xml:space="preserve">主从控制原理 </w:t>
      </w:r>
    </w:p>
    <w:p w14:paraId="1E07F0EB">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ABB ACS800系列变频装置的主从协同机制，系依托直接转矩控制（DTC）技术构建其核心调控架构。</w:t>
      </w:r>
    </w:p>
    <w:p w14:paraId="0B03EE0B">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诸如启停控制及设定值输入等指令，均专属于主变频器的连接范畴。主站借助光纤链路向各从站同步播发控制指令及转速、转矩设定参数</w:t>
      </w:r>
    </w:p>
    <w:p w14:paraId="592153EE">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，以此达成对从属设备的集中调控。尽管从站鲜少经由主从通信总线回传反馈信息，然其异常告警却以独立线路接入主控运行使能端口，</w:t>
      </w:r>
    </w:p>
    <w:p w14:paraId="53537C8C">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借此构建硬件联锁保护逻辑。若从属设备出现异常，联锁机制即刻触发主从单元同步停机，从而保障整体运行安全。</w:t>
      </w:r>
    </w:p>
    <w:p w14:paraId="2B864ED3">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在速度控制模式下，主机借助PI调节器处理设定转速\(SPEED\ REF3\)与实测转速\(ACTUAL\ SPEED\)间的偏差，进而生成转</w:t>
      </w:r>
    </w:p>
    <w:p w14:paraId="36B3DB85">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矩指令\(TORQ\ REF3\)。经由频率、直流母线电压、功率及转矩等多重约束环节的逐级校正，初始指令被修正为实际生效的转</w:t>
      </w:r>
    </w:p>
    <w:p w14:paraId="110C43AD">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矩设定量 \(TORQ\ REF\ USED\) 。滞环比较单元将转矩及定子磁链的参考指令与其对应实测反馈量逐一实施偏差运算。</w:t>
      </w:r>
    </w:p>
    <w:p w14:paraId="7A00A460">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据此生成最佳脉宽调制波形，并经由逆变器功率元件的通断控制，实现对主机运转速率的精准调控。</w:t>
      </w:r>
    </w:p>
    <w:p w14:paraId="53E988DE">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将从机转矩指令设定为\(TORQ\ REF\ USED\)，旨在达成主从设备间负载力矩的均衡分担。鉴于从动端实施转矩调节策略，其旋转速</w:t>
      </w:r>
    </w:p>
    <w:p w14:paraId="26D7175C">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率实则受控于主动轴转速与机械传动关联特性的协同作用。若机械连接具备高刚性特征，则从动端转速将严格跟随主动端运行；</w:t>
      </w:r>
    </w:p>
    <w:p w14:paraId="5276079A">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若主机输出转矩指令超出从机当前负载水平，将驱动后者角速度急剧攀升，最终触及转速上限阈值。</w:t>
      </w:r>
    </w:p>
    <w:p w14:paraId="721C9D77">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矩控制方式转变为速度控制方式，速度给定值即为转速限幅值。</w:t>
      </w:r>
    </w:p>
    <w:p w14:paraId="1DFA8636"/>
    <w:p w14:paraId="5934F568"/>
    <w:p w14:paraId="1B994381">
      <w:pPr>
        <w:keepNext w:val="0"/>
        <w:keepLines w:val="0"/>
        <w:widowControl/>
        <w:suppressLineNumbers w:val="0"/>
        <w:jc w:val="left"/>
      </w:pPr>
      <w:r>
        <w:rPr>
          <w:rFonts w:ascii="新宋体" w:eastAsia="新宋体" w:hAnsi="新宋体" w:cs="新宋体"/>
          <w:color w:val="000000"/>
          <w:kern w:val="0"/>
          <w:sz w:val="20"/>
          <w:szCs w:val="20"/>
          <w:lang w:val="en-US" w:eastAsia="zh-CN" w:bidi="ar"/>
        </w:rPr>
        <w:t xml:space="preserve">5.1 矿山同轴提升机系统 </w:t>
      </w:r>
    </w:p>
    <w:p w14:paraId="6026CB3E">
      <w:pPr>
        <w:keepNext w:val="0"/>
        <w:keepLines w:val="0"/>
        <w:widowControl/>
        <w:suppressLineNumbers w:val="0"/>
        <w:jc w:val="left"/>
      </w:pPr>
      <w:r>
        <w:rPr>
          <w:rFonts w:ascii="新宋体" w:eastAsia="新宋体" w:hAnsi="新宋体" w:cs="新宋体" w:hint="eastAsia"/>
          <w:color w:val="000000"/>
          <w:kern w:val="0"/>
          <w:sz w:val="20"/>
          <w:szCs w:val="20"/>
          <w:lang w:val="en-US" w:eastAsia="zh-CN" w:bidi="ar"/>
        </w:rPr>
        <w:t>矿井提升环节内，兼顾运行效能与安全保障乃核</w:t>
      </w:r>
      <w:r>
        <w:rPr>
          <w:rFonts w:ascii="新宋体" w:eastAsia="新宋体" w:hAnsi="新宋体" w:cs="新宋体" w:hint="eastAsia"/>
          <w:color w:val="FF0000"/>
          <w:kern w:val="0"/>
          <w:sz w:val="20"/>
          <w:szCs w:val="20"/>
          <w:lang w:val="en-US" w:eastAsia="zh-CN" w:bidi="ar"/>
        </w:rPr>
        <w:t>心要务。同轴提升装置普遍配置双电机协同驱动单一卷筒，其运转过程</w:t>
      </w:r>
    </w:p>
    <w:p w14:paraId="19AA8675">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遵循主从协调控制策</w:t>
      </w:r>
      <w:r>
        <w:rPr>
          <w:rFonts w:ascii="新宋体" w:eastAsia="新宋体" w:hAnsi="新宋体" w:cs="新宋体" w:hint="eastAsia"/>
          <w:color w:val="000000"/>
          <w:kern w:val="0"/>
          <w:sz w:val="20"/>
          <w:szCs w:val="20"/>
          <w:lang w:val="en-US" w:eastAsia="zh-CN" w:bidi="ar"/>
        </w:rPr>
        <w:t>略。针对同轴</w:t>
      </w:r>
      <w:r>
        <w:rPr>
          <w:rFonts w:ascii="新宋体" w:eastAsia="新宋体" w:hAnsi="新宋体" w:cs="新宋体" w:hint="eastAsia"/>
          <w:color w:val="FF0000"/>
          <w:kern w:val="0"/>
          <w:sz w:val="20"/>
          <w:szCs w:val="20"/>
          <w:lang w:val="en-US" w:eastAsia="zh-CN" w:bidi="ar"/>
        </w:rPr>
        <w:t>提升装备的调速需求，该矿区配置了高压四象限变频设备；其主控单元依托高性能数字信号处</w:t>
      </w:r>
    </w:p>
    <w:p w14:paraId="0A30B55D">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理器构建，并达成了控制</w:t>
      </w:r>
      <w:r>
        <w:rPr>
          <w:rFonts w:ascii="新宋体" w:eastAsia="新宋体" w:hAnsi="新宋体" w:cs="新宋体" w:hint="eastAsia"/>
          <w:color w:val="000000"/>
          <w:kern w:val="0"/>
          <w:sz w:val="20"/>
          <w:szCs w:val="20"/>
          <w:lang w:val="en-US" w:eastAsia="zh-CN" w:bidi="ar"/>
        </w:rPr>
        <w:t>策</w:t>
      </w:r>
      <w:r>
        <w:rPr>
          <w:rFonts w:ascii="新宋体" w:eastAsia="新宋体" w:hAnsi="新宋体" w:cs="新宋体" w:hint="eastAsia"/>
          <w:color w:val="FF0000"/>
          <w:kern w:val="0"/>
          <w:sz w:val="20"/>
          <w:szCs w:val="20"/>
          <w:lang w:val="en-US" w:eastAsia="zh-CN" w:bidi="ar"/>
        </w:rPr>
        <w:t>略的全数字化运算。借助矢量调控策略，主从架构显著增强了提升装</w:t>
      </w:r>
      <w:r>
        <w:rPr>
          <w:rFonts w:ascii="新宋体" w:eastAsia="新宋体" w:hAnsi="新宋体" w:cs="新宋体" w:hint="eastAsia"/>
          <w:color w:val="000000"/>
          <w:kern w:val="0"/>
          <w:sz w:val="20"/>
          <w:szCs w:val="20"/>
          <w:lang w:val="en-US" w:eastAsia="zh-CN" w:bidi="ar"/>
        </w:rPr>
        <w:t>备的转矩输出性能。针</w:t>
      </w:r>
      <w:r>
        <w:rPr>
          <w:rFonts w:ascii="新宋体" w:eastAsia="新宋体" w:hAnsi="新宋体" w:cs="新宋体" w:hint="eastAsia"/>
          <w:color w:val="FF0000"/>
          <w:kern w:val="0"/>
          <w:sz w:val="20"/>
          <w:szCs w:val="20"/>
          <w:lang w:val="en-US" w:eastAsia="zh-CN" w:bidi="ar"/>
        </w:rPr>
        <w:t>对额</w:t>
      </w:r>
    </w:p>
    <w:p w14:paraId="4BD5FFFB">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定容量相同的电机对，若施以同频双机调控策略，不仅能确保定子侧电压频率同步，还可借助减速器耦合转子轴系；该机制</w:t>
      </w:r>
    </w:p>
    <w:p w14:paraId="354E0289">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有效维持了转差率与转子频率的均等性，进而促使</w:t>
      </w:r>
      <w:r>
        <w:rPr>
          <w:rFonts w:ascii="新宋体" w:eastAsia="新宋体" w:hAnsi="新宋体" w:cs="新宋体" w:hint="eastAsia"/>
          <w:color w:val="000000"/>
          <w:kern w:val="0"/>
          <w:sz w:val="20"/>
          <w:szCs w:val="20"/>
          <w:lang w:val="en-US" w:eastAsia="zh-CN" w:bidi="ar"/>
        </w:rPr>
        <w:t>转矩电流趋同，最终达成系统功率均衡分配之目标。若双机功率参数悬殊</w:t>
      </w:r>
    </w:p>
    <w:p w14:paraId="2D35267A">
      <w:pPr>
        <w:keepNext w:val="0"/>
        <w:keepLines w:val="0"/>
        <w:widowControl/>
        <w:suppressLineNumbers w:val="0"/>
        <w:jc w:val="left"/>
      </w:pPr>
      <w:r>
        <w:rPr>
          <w:rFonts w:ascii="新宋体" w:eastAsia="新宋体" w:hAnsi="新宋体" w:cs="新宋体" w:hint="eastAsia"/>
          <w:color w:val="000000"/>
          <w:kern w:val="0"/>
          <w:sz w:val="20"/>
          <w:szCs w:val="20"/>
          <w:lang w:val="en-US" w:eastAsia="zh-CN" w:bidi="ar"/>
        </w:rPr>
        <w:t>，采用同频协同策略易致高负载侧触发过流阈值，而低容量机组则面临输出电流匮乏之困境</w:t>
      </w:r>
      <w:r>
        <w:rPr>
          <w:rFonts w:ascii="新宋体" w:eastAsia="新宋体" w:hAnsi="新宋体" w:cs="新宋体" w:hint="eastAsia"/>
          <w:color w:val="FF0000"/>
          <w:kern w:val="0"/>
          <w:sz w:val="20"/>
          <w:szCs w:val="20"/>
          <w:lang w:val="en-US" w:eastAsia="zh-CN" w:bidi="ar"/>
        </w:rPr>
        <w:t>。针对上述难题，该装置引入</w:t>
      </w:r>
    </w:p>
    <w:p w14:paraId="0C0AD6A6">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差异化频率调控策略，依据双电机运转期间有功转矩电流的实时反馈，自适应修正</w:t>
      </w:r>
      <w:r>
        <w:rPr>
          <w:rFonts w:ascii="新宋体" w:eastAsia="新宋体" w:hAnsi="新宋体" w:cs="新宋体" w:hint="eastAsia"/>
          <w:color w:val="000000"/>
          <w:kern w:val="0"/>
          <w:sz w:val="20"/>
          <w:szCs w:val="20"/>
          <w:lang w:val="en-US" w:eastAsia="zh-CN" w:bidi="ar"/>
        </w:rPr>
        <w:t>其定子工作</w:t>
      </w:r>
      <w:r>
        <w:rPr>
          <w:rFonts w:ascii="新宋体" w:eastAsia="新宋体" w:hAnsi="新宋体" w:cs="新宋体" w:hint="eastAsia"/>
          <w:color w:val="FF0000"/>
          <w:kern w:val="0"/>
          <w:sz w:val="20"/>
          <w:szCs w:val="20"/>
          <w:lang w:val="en-US" w:eastAsia="zh-CN" w:bidi="ar"/>
        </w:rPr>
        <w:t>频率。采集电机电流信号并经由Clark与</w:t>
      </w:r>
    </w:p>
    <w:p w14:paraId="6891B51D">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Park坐标变换解耦获取转矩分量，依据双机该分量的实时工况差异化生成补偿频率以调节定子电压频率，最终达成主</w:t>
      </w:r>
    </w:p>
    <w:p w14:paraId="291F4E3B">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从变频架构下输出转矩电流的自适应均衡分配。针对某绞车工况，系统配置两台1400kW变频装置驱动额定容量各为1100kW及1600kW</w:t>
      </w:r>
    </w:p>
    <w:p w14:paraId="09F0CBC3">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的电机；经控制策略优化，二者峰值出力被整定为1100kW与1400kW，从而在满负荷运行阶段达成变频设备与电机的功率匹配。</w:t>
      </w:r>
    </w:p>
    <w:p w14:paraId="6E3086E1">
      <w:pPr>
        <w:keepNext w:val="0"/>
        <w:keepLines w:val="0"/>
        <w:widowControl/>
        <w:suppressLineNumbers w:val="0"/>
        <w:jc w:val="left"/>
      </w:pPr>
      <w:r>
        <w:rPr>
          <w:rFonts w:ascii="新宋体" w:eastAsia="新宋体" w:hAnsi="新宋体" w:cs="新宋体" w:hint="eastAsia"/>
          <w:color w:val="FF0000"/>
          <w:kern w:val="0"/>
          <w:sz w:val="20"/>
          <w:szCs w:val="20"/>
          <w:lang w:val="en-US" w:eastAsia="zh-CN" w:bidi="ar"/>
        </w:rPr>
        <w:t>都不超载</w:t>
      </w:r>
      <w:r>
        <w:rPr>
          <w:rFonts w:ascii="新宋体" w:eastAsia="新宋体" w:hAnsi="新宋体" w:cs="新宋体" w:hint="eastAsia"/>
          <w:color w:val="000000"/>
          <w:kern w:val="0"/>
          <w:sz w:val="20"/>
          <w:szCs w:val="20"/>
          <w:lang w:val="en-US" w:eastAsia="zh-CN" w:bidi="ar"/>
        </w:rPr>
        <w:t>，有效提高了矿山提升作业的安全性和效率。</w:t>
      </w:r>
    </w:p>
    <w:p w14:paraId="31DAF224">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01479"/>
    <w:rsid w:val="1C4014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cp:lastModifiedBy>刚刚好</cp:lastModifiedBy>
  <cp:revision>1</cp:revision>
  <dcterms:created xsi:type="dcterms:W3CDTF">2026-10-12T09:14:00Z</dcterms:created>
  <dcterms:modified xsi:type="dcterms:W3CDTF">2026-10-12T09:15:38Z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B21431AA7C7C4D7F92E16516FB72EA01_11</vt:lpwstr>
  </property>
  <property fmtid="{D5CDD505-2E9C-101B-9397-08002B2CF9AE}" pid="3" name="KSOProductBuildVer">
    <vt:lpwstr>2052-12.1.0.28505</vt:lpwstr>
  </property>
  <property fmtid="{D5CDD505-2E9C-101B-9397-08002B2CF9AE}" pid="4" name="KSOTemplateDocerSaveRecord">
    <vt:lpwstr>eyJoZGlkIjoiMzlmNTE2NjY2M2M0OTdjYTZmZmU4MTliOGE1MGQ2NzUiLCJ1c2VySWQiOiIzMzc5NDYzODAifQ==</vt:lpwstr>
  </property>
</Properties>
</file>