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C5E967C">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摘要：</w:t>
      </w:r>
      <w:r>
        <w:rPr>
          <w:rFonts w:ascii="Times New Roman" w:eastAsia="宋体" w:hAnsi="Times New Roman" w:cs="Times New Roman" w:hint="default"/>
          <w:b w:val="0"/>
          <w:bCs w:val="0"/>
          <w:color w:val="0000FF"/>
          <w:sz w:val="21"/>
          <w:szCs w:val="21"/>
          <w:lang w:val="en-US" w:eastAsia="zh-CN"/>
        </w:rPr>
        <w:t>播种环节在玉米生产链条里是承前启后的枢纽，作业精准度与时效同出苗整齐度、群体建成质量紧密相连，从而影响最终产量水平和种植收益。本文选取玉米种植中不同类型的播种机械技术特征和田间表现作为研究对象，从机械式、气力式和复合作业播种机的排种机理及适用范围入手，对播前准备、参数调节、土壤匹配、种肥配合和速度控制这五个方面的应用要点进行归纳整理，并从播种质量、产量构成、成本效益这三个方面对机械播种的应用效果进行量化评价，给出农机农艺融合、分层选型指导、技能培训体</w:t>
      </w:r>
      <w:r>
        <w:rPr>
          <w:rFonts w:ascii="Times New Roman" w:eastAsia="宋体" w:hAnsi="Times New Roman" w:cs="Times New Roman" w:hint="eastAsia"/>
          <w:b w:val="0"/>
          <w:bCs w:val="0"/>
          <w:color w:val="0000FF"/>
          <w:sz w:val="21"/>
          <w:szCs w:val="21"/>
          <w:lang w:val="en-US" w:eastAsia="zh-CN"/>
        </w:rPr>
        <w:t>系</w:t>
      </w:r>
      <w:r>
        <w:rPr>
          <w:rFonts w:ascii="Times New Roman" w:eastAsia="宋体" w:hAnsi="Times New Roman" w:cs="Times New Roman" w:hint="default"/>
          <w:b w:val="0"/>
          <w:bCs w:val="0"/>
          <w:color w:val="0000FF"/>
          <w:sz w:val="21"/>
          <w:szCs w:val="21"/>
          <w:lang w:val="en-US" w:eastAsia="zh-CN"/>
        </w:rPr>
        <w:t>三条推广路径，以期给玉米机械化播种的提质增效和规模化应用提供可操作的技术参考。</w:t>
      </w:r>
    </w:p>
    <w:p w14:paraId="1F995911">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p>
    <w:p w14:paraId="21426545">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玉米</w:t>
      </w:r>
      <w:r>
        <w:rPr>
          <w:rFonts w:ascii="Times New Roman" w:eastAsia="宋体" w:hAnsi="Times New Roman" w:cs="Times New Roman" w:hint="eastAsia"/>
          <w:b w:val="0"/>
          <w:bCs w:val="0"/>
          <w:color w:val="0000FF"/>
          <w:sz w:val="21"/>
          <w:szCs w:val="21"/>
          <w:lang w:val="en-US" w:eastAsia="zh-CN"/>
        </w:rPr>
        <w:t>属</w:t>
      </w:r>
      <w:r>
        <w:rPr>
          <w:rFonts w:ascii="Times New Roman" w:eastAsia="宋体" w:hAnsi="Times New Roman" w:cs="Times New Roman" w:hint="default"/>
          <w:b w:val="0"/>
          <w:bCs w:val="0"/>
          <w:color w:val="0000FF"/>
          <w:sz w:val="21"/>
          <w:szCs w:val="21"/>
          <w:lang w:val="en-US" w:eastAsia="zh-CN"/>
        </w:rPr>
        <w:t>于禾本科一年生草本植物，具有粮食、饲料和工业原料三重用途，在粮食生产体系中占有重要的地位。播种是玉米生产流程中时间最紧的环节，传统的撒播、条播存在着株距不匀、播深不均、用种过多等固有的不足，出苗后群体整齐度低，间定苗时又要消耗大量的人力。近些年来，精量播种技术和复式作业机具的更新换代，使得玉米播种环节的机械化率不断提高，作业质量和效率也得到了明显改善。对播种机械技术类型、应用要点及实际效果进行系统的梳理，对玉米种植方式的改进、生产成本的降低、土地产出率的提高有直接的作用。</w:t>
      </w:r>
    </w:p>
    <w:p w14:paraId="72883349">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1玉米播种机械的主要类型及技术特点</w:t>
      </w:r>
    </w:p>
    <w:p w14:paraId="278AB4A0">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1.1机械式播种机</w:t>
      </w:r>
    </w:p>
    <w:p w14:paraId="59D62841">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机械式排种器依靠机械构件的物理夹持或者舀取动作来完成单粒分离和投种，结构原理直观、制造成本低、维护方便，在中小型种植单元中使用较多。勺轮式排种器依靠旋转勺轮从种箱中舀取种子，经过清种刷去除多余的籽粒之后落入导种管，对于种子外形尺寸的包容度较高，籽粒大小不均时仍可以保持基本的排种连续性，但是高速运转时舀取精度降低，重播和漏播的概率同时上升，适宜作业速度一般控制在3～5km/h</w:t>
      </w:r>
      <w:r>
        <w:rPr>
          <w:rFonts w:ascii="Times New Roman" w:eastAsia="宋体" w:hAnsi="Times New Roman" w:cs="Times New Roman" w:hint="eastAsia"/>
          <w:b w:val="0"/>
          <w:bCs w:val="0"/>
          <w:color w:val="0000FF"/>
          <w:sz w:val="21"/>
          <w:szCs w:val="21"/>
          <w:vertAlign w:val="superscript"/>
          <w:lang w:val="en-US" w:eastAsia="zh-CN"/>
        </w:rPr>
        <w:t>[1]</w:t>
      </w:r>
      <w:r>
        <w:rPr>
          <w:rFonts w:ascii="Times New Roman" w:eastAsia="宋体" w:hAnsi="Times New Roman" w:cs="Times New Roman" w:hint="default"/>
          <w:b w:val="0"/>
          <w:bCs w:val="0"/>
          <w:color w:val="0000FF"/>
          <w:sz w:val="21"/>
          <w:szCs w:val="21"/>
          <w:lang w:val="en-US" w:eastAsia="zh-CN"/>
        </w:rPr>
        <w:t>。指夹式排种器依靠弹性指夹夹住单粒种子随转盘运动，到达指定位置释放投种，夹持力可以调节，单粒分离精度比勺轮式好，漏播率可以控制在5%以内，作业速度可以提高到7～9km/h，但是对种子圆整度和表面光滑度要求较高，籽粒畸形或者破损时容易出现夹持不稳或者夹带双粒的现象。</w:t>
      </w:r>
    </w:p>
    <w:p w14:paraId="6C520B63">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1.2气力式播种机</w:t>
      </w:r>
    </w:p>
    <w:p w14:paraId="1FC21344">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气流场对种子产生的吸附或者悬浮作用力是气力式排种技术的主要机理，籽粒的单粒化拾取和定点投送受到种子几何形状差异的影响较小，对于未精选分级的种子仍然可以保持较高的单粒率。气吸式排种器依靠风机产生的负压使种子吸附在排种盘吸孔上，随盘转动到投种区断气脱落，吸孔孔径和气压值要匹配籽粒粒径，作业速度可达6～10km/h，漏播率可降至2%左右。气压式排种器用正压气流把种子压入型孔，随轮输送，气密性比气吸式低一些，高速作业稳定性好。气吹式排种器用高速气流吹出型孔中的多余种子，结构比较简单，但是气流参数调节不好容易造成吹落正常单粒。</w:t>
      </w:r>
    </w:p>
    <w:p w14:paraId="3CFF9101">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1.3复合作业播种机</w:t>
      </w:r>
    </w:p>
    <w:p w14:paraId="25A084A1">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多道工序集成在同一机架上是复合作业播种机的特点之一，一次进地可以完成以往需要多次作业的生产环节，进地次数的减少使土壤压实程度降低、燃油消耗减少。免耕精量播种机在未耕翻的秸秆覆盖地表直接开沟播种，配备的破茬圆盘刀可以切断秸秆并开出种沟，平行四连杆仿形机构使开沟器随地表起伏保持恒定深度，播深合格率可达90%以上，对保护性耕作制度有较好的适应性。旋耕施肥播种机前部旋耕刀辊破碎土壤并拌和基肥，后部排种器紧跟其后播种，耕层疏松度和种床平整度同时提高，但是动力消耗大，需要80马力以上的拖拉机才能正常作业</w:t>
      </w:r>
      <w:r>
        <w:rPr>
          <w:rFonts w:ascii="Times New Roman" w:eastAsia="宋体" w:hAnsi="Times New Roman" w:cs="Times New Roman" w:hint="eastAsia"/>
          <w:b w:val="0"/>
          <w:bCs w:val="0"/>
          <w:color w:val="0000FF"/>
          <w:sz w:val="21"/>
          <w:szCs w:val="21"/>
          <w:vertAlign w:val="superscript"/>
          <w:lang w:val="en-US" w:eastAsia="zh-CN"/>
        </w:rPr>
        <w:t>[2]</w:t>
      </w:r>
      <w:r>
        <w:rPr>
          <w:rFonts w:ascii="Times New Roman" w:eastAsia="宋体" w:hAnsi="Times New Roman" w:cs="Times New Roman" w:hint="default"/>
          <w:b w:val="0"/>
          <w:bCs w:val="0"/>
          <w:color w:val="0000FF"/>
          <w:sz w:val="21"/>
          <w:szCs w:val="21"/>
          <w:lang w:val="en-US" w:eastAsia="zh-CN"/>
        </w:rPr>
        <w:t>。</w:t>
      </w:r>
    </w:p>
    <w:p w14:paraId="1B8BD16B">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2玉米种植中播种机械的应用要点</w:t>
      </w:r>
    </w:p>
    <w:p w14:paraId="1C779740">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2.1种子精选分级与排种器适配调校</w:t>
      </w:r>
    </w:p>
    <w:p w14:paraId="3EA1CCFB">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种子的物理性状同排种器的工作机理有着严格的关系，籽粒粒径分布宽度过大，会直接削减机械式排种器的单粒分离精确度，即便气力式机型对于种子形状的包容性较强，未分级的种子也会加大吸孔堵塞或者双粒吸附的风险。播前对种子进行风选、筛选和重力选，去除瘪粒、破损粒和杂质，分成2～3个等级，分别对应排种器不同的型孔规格或者夹持力档位。包衣处理后的种子表面光滑度提高，可以改善指夹式排种器的稳定夹持，但是包衣层厚度不均会使籽粒实际外径发生变化，调试时应以包衣后的实测尺寸为准。排种器型孔或者吸孔更换之后，在试验台上做空转排种试验，统计500粒样本中重播数和漏播数，达到精度要求之后才能下地作业。</w:t>
      </w:r>
    </w:p>
    <w:p w14:paraId="4B951501">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2.2播深株距参数的田间标定方法</w:t>
      </w:r>
    </w:p>
    <w:p w14:paraId="70497194">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播种深度和株距是影响玉米出苗整齐度和群体密度的主要因素，不能只依靠机具出厂设置来标定，必须通过田间土壤质地和墒情的实地测定来确定。播深标定可以使用标记绳法，在作业行内随机选择5个测点，扒开覆土测量种子顶端到地面的垂直距离，求平均值和变异系数，沙质土壤控制在4～5cm，黏重土壤控制在3～4cm，播深变异系数不超过15%。株距标定是沿作业行连续测量20株相邻种子中心间距，计算理论株距与实测株距的偏差率，偏差大于5%时需要调整排种器传动比或者更换链轮。田间标定要尽早完成，中途更换种子批次或者土壤类型发生明显改变时要重新校准，防止参数漂移造成局部出苗异常。</w:t>
      </w:r>
    </w:p>
    <w:p w14:paraId="1ED39094">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2.3土壤墒情与机具作业状态管控</w:t>
      </w:r>
    </w:p>
    <w:p w14:paraId="61E8500E">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土壤含水量的多少直接决定着种床是否能够成型、种子是否能够萌发，墒情不足时开沟器抛出的土壤松散不能压实覆盖，墒情过湿种沟两侧容易出现泥浆黏附、覆土板结。播种前0～10cm土层的相对含水量应保持在60%～75%，低于60%时需要进行播后喷灌或者等待降雨，高于75%时需要延后作业直到墒情回落。机具作业时要随时注意开沟器挂草、积泥情况，秸秆覆盖量大的地块要检查破茬圆盘刀的切割情况，刃口磨损大于2mm时切割阻力增大，种沟成型质量变差</w:t>
      </w:r>
      <w:r>
        <w:rPr>
          <w:rFonts w:ascii="Times New Roman" w:eastAsia="宋体" w:hAnsi="Times New Roman" w:cs="Times New Roman" w:hint="eastAsia"/>
          <w:b w:val="0"/>
          <w:bCs w:val="0"/>
          <w:color w:val="0000FF"/>
          <w:sz w:val="21"/>
          <w:szCs w:val="21"/>
          <w:vertAlign w:val="superscript"/>
          <w:lang w:val="en-US" w:eastAsia="zh-CN"/>
        </w:rPr>
        <w:t>[3]</w:t>
      </w:r>
      <w:r>
        <w:rPr>
          <w:rFonts w:ascii="Times New Roman" w:eastAsia="宋体" w:hAnsi="Times New Roman" w:cs="Times New Roman" w:hint="default"/>
          <w:b w:val="0"/>
          <w:bCs w:val="0"/>
          <w:color w:val="0000FF"/>
          <w:sz w:val="21"/>
          <w:szCs w:val="21"/>
          <w:lang w:val="en-US" w:eastAsia="zh-CN"/>
        </w:rPr>
        <w:t>。镇压轮压力要根据土壤质地来调节，沙质土要大镇压力来减小水分蒸发，黏重土要轻压防止表层板结，镇压后轮迹深度以1～2cm为宜。</w:t>
      </w:r>
    </w:p>
    <w:p w14:paraId="1D898A12">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2.4种肥同播的空间隔离与剂量控制</w:t>
      </w:r>
    </w:p>
    <w:p w14:paraId="3B7DCB35">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种肥同播技术把基肥施用和播种作业一起完成，肥料的集中释放可以提高苗期养分供应效率，但是种子和肥料的空间距离过近时，高浓度盐分会造成胚根灼伤，出苗率和幼苗长势都会受到影响。施肥开沟器和播种开沟器的水平间距应保持在5～8cm，垂直深度上肥料应比种子深3～5cm，形成侧深施肥的空间格局，尿素等高氮肥料的施用量不宜超过15kg/亩，复合肥根据有效成分含量适当调整。施肥装置排肥量作业前应进行标定，在排肥口下方接取1分钟的肥料称重，换算成单位面积施肥量，与目标值偏差大于5%时调节排肥槽开度。作业时要留意肥料颗粒的流动性，吸潮结块的肥料容易引起排肥轮堵塞，发现断条立即停机疏通。</w:t>
      </w:r>
    </w:p>
    <w:p w14:paraId="46547564">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2.5作业速度与仿形机构的协同调节</w:t>
      </w:r>
    </w:p>
    <w:p w14:paraId="0A86C787">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作业速度变化会使得排种器投种频率和仿形机构响应特性发生联动改变，速度提高后排种器单位时间内投种频率增多，种子在导种管内下落的时间变短，株距均匀度和播深稳定性都会出现波动。机械式排种器对速度变化比较敏感，勺轮式超过5km/h后漏播率明显增大，指夹式虽然可以适应中高速作业，但是超过9km/h时指夹释放种子的时序偏差增大。气力式排种器速度适应性好，在10km/h以内仍可以保持较低的漏播率。仿形机构性能同作业速度有关，四连杆仿形机构跟随响应有滞后现象，高速通过起伏地表时开沟器深度波动变大，应根据地表平整度适当降低作业速度，地表起伏差大于5cm时速度不宜超过6km/h。</w:t>
      </w:r>
    </w:p>
    <w:p w14:paraId="6D843C6F">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3玉米种植中播种机械的应用效果分析</w:t>
      </w:r>
    </w:p>
    <w:p w14:paraId="7525E50F">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3.1播种机械对玉米播种质量的影响分析</w:t>
      </w:r>
    </w:p>
    <w:p w14:paraId="5E0F418A">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播种质量包括出苗率、群体整齐度、重播率和漏播率等指标，机械播种通过播深、株距、播种量的准确控制，使各项指标比人工播种有明显的提高。精量播种机可以将播种深度控制在设定值±0.5cm之内，出苗率可以保持在93%以上，人工撒播的出苗率一般为80%～85%，缺苗断垄现象比较严重。单粒精播技术消除了传统一穴多粒造成的种内竞争，幼苗出土后长势均匀，叶龄和株高变异系数降低，为后续田间管理及机械化收获创造了整齐一致的群体条件。不同的机型之间，气吸式播种机的播种质量最好，指夹式次之，勺轮式在低速时可以满足基本的生产要求</w:t>
      </w:r>
      <w:r>
        <w:rPr>
          <w:rFonts w:ascii="Times New Roman" w:eastAsia="宋体" w:hAnsi="Times New Roman" w:cs="Times New Roman" w:hint="eastAsia"/>
          <w:b w:val="0"/>
          <w:bCs w:val="0"/>
          <w:color w:val="0000FF"/>
          <w:sz w:val="21"/>
          <w:szCs w:val="21"/>
          <w:vertAlign w:val="superscript"/>
          <w:lang w:val="en-US" w:eastAsia="zh-CN"/>
        </w:rPr>
        <w:t>[4]</w:t>
      </w:r>
      <w:r>
        <w:rPr>
          <w:rFonts w:ascii="Times New Roman" w:eastAsia="宋体" w:hAnsi="Times New Roman" w:cs="Times New Roman" w:hint="default"/>
          <w:b w:val="0"/>
          <w:bCs w:val="0"/>
          <w:color w:val="0000FF"/>
          <w:sz w:val="21"/>
          <w:szCs w:val="21"/>
          <w:lang w:val="en-US" w:eastAsia="zh-CN"/>
        </w:rPr>
        <w:t>。</w:t>
      </w:r>
    </w:p>
    <w:p w14:paraId="237F14B4">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3.2播种机械对玉米产量构成的影响分析</w:t>
      </w:r>
    </w:p>
    <w:p w14:paraId="5B3E28E3">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玉米产量是由单位面积穗数、穗粒数和千粒重这三个因素共同组成的，播种质量的提高会经由增加有效穗数以及改善穗部性状这两种途径来影响最终产量。精量播种保证了合理的种植密度，单位面积有效株数比传统播种可以增加5%～10%，空秆率降低，穗数得到保证。出苗整齐度提高之后，群体内个体之间光照和养分的竞争趋于均衡，弱势株比例降低，平均穗粒数增加3%～8%，千粒重因为灌浆期养分供应充足而有所提高。田间对比试验结果表明，精密播种比普通条播增产6%～15%，单粒点播比传统穴播增产5%～10%，产量的年际稳定性比人工播种好。机械播种出苗质量、用种量、增产幅度等量化效果可以由田间对比数据来体现，具体指标见</w:t>
      </w:r>
      <w:r>
        <w:rPr>
          <w:rFonts w:ascii="Times New Roman" w:eastAsia="宋体" w:hAnsi="Times New Roman" w:cs="Times New Roman" w:hint="eastAsia"/>
          <w:b w:val="0"/>
          <w:bCs w:val="0"/>
          <w:color w:val="0000FF"/>
          <w:sz w:val="21"/>
          <w:szCs w:val="21"/>
          <w:lang w:val="en-US" w:eastAsia="zh-CN"/>
        </w:rPr>
        <w:t>表</w:t>
      </w:r>
      <w:r>
        <w:rPr>
          <w:rFonts w:ascii="Times New Roman" w:eastAsia="宋体" w:hAnsi="Times New Roman" w:cs="Times New Roman" w:hint="default"/>
          <w:b w:val="0"/>
          <w:bCs w:val="0"/>
          <w:color w:val="0000FF"/>
          <w:sz w:val="21"/>
          <w:szCs w:val="21"/>
          <w:lang w:val="en-US" w:eastAsia="zh-CN"/>
        </w:rPr>
        <w:t>1。</w:t>
      </w:r>
    </w:p>
    <w:p w14:paraId="7A72A7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表</w:t>
      </w:r>
      <w:r>
        <w:rPr>
          <w:rFonts w:ascii="Times New Roman" w:eastAsia="宋体" w:hAnsi="Times New Roman" w:cs="Times New Roman" w:hint="eastAsia"/>
          <w:b w:val="0"/>
          <w:bCs w:val="0"/>
          <w:color w:val="0000FF"/>
          <w:sz w:val="21"/>
          <w:szCs w:val="21"/>
          <w:lang w:val="en-US" w:eastAsia="zh-CN"/>
        </w:rPr>
        <w:t xml:space="preserve">1 </w:t>
      </w:r>
      <w:r>
        <w:rPr>
          <w:rFonts w:ascii="Times New Roman" w:eastAsia="宋体" w:hAnsi="Times New Roman" w:cs="Times New Roman" w:hint="default"/>
          <w:b w:val="0"/>
          <w:bCs w:val="0"/>
          <w:color w:val="0000FF"/>
          <w:sz w:val="21"/>
          <w:szCs w:val="21"/>
          <w:lang w:val="en-US" w:eastAsia="zh-CN"/>
        </w:rPr>
        <w:t>机械播种与人工播种的出苗及产量指标对比</w:t>
      </w:r>
    </w:p>
    <w:tbl>
      <w:tblPr>
        <w:tblStyle w:val="TableGrid"/>
        <w:tblW w:w="8519"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CellMar>
          <w:top w:w="0" w:type="dxa"/>
          <w:left w:w="108" w:type="dxa"/>
          <w:bottom w:w="0" w:type="dxa"/>
          <w:right w:w="108" w:type="dxa"/>
        </w:tblCellMar>
      </w:tblPr>
      <w:tblGrid>
        <w:gridCol w:w="2498"/>
        <w:gridCol w:w="2209"/>
        <w:gridCol w:w="1906"/>
        <w:gridCol w:w="1906"/>
      </w:tblGrid>
      <w:tr w14:paraId="26BC6441">
        <w:tblPrEx>
          <w:tblW w:w="8519"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CellMar>
            <w:top w:w="0" w:type="dxa"/>
            <w:left w:w="108" w:type="dxa"/>
            <w:bottom w:w="0" w:type="dxa"/>
            <w:right w:w="108" w:type="dxa"/>
          </w:tblCellMar>
        </w:tblPrEx>
        <w:trPr>
          <w:trHeight w:hRule="auto" w:val="0"/>
          <w:tblHeader/>
          <w:jc w:val="center"/>
        </w:trPr>
        <w:tc>
          <w:tcPr>
            <w:tcW w:w="0" w:type="auto"/>
            <w:tcBorders>
              <w:top w:val="single" w:sz="12" w:space="0" w:color="auto"/>
              <w:left w:val="nil"/>
              <w:bottom w:val="nil"/>
              <w:right w:val="nil"/>
            </w:tcBorders>
            <w:shd w:val="clear" w:color="auto" w:fill="auto"/>
            <w:noWrap w:val="0"/>
            <w:tcMar>
              <w:top w:w="-1" w:type="dxa"/>
              <w:left w:w="-1" w:type="dxa"/>
              <w:bottom w:w="-1" w:type="dxa"/>
              <w:right w:w="-1" w:type="dxa"/>
            </w:tcMar>
            <w:vAlign w:val="center"/>
          </w:tcPr>
          <w:p w14:paraId="71F55F41">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对比指标</w:t>
            </w:r>
          </w:p>
        </w:tc>
        <w:tc>
          <w:tcPr>
            <w:tcW w:w="0" w:type="auto"/>
            <w:tcBorders>
              <w:top w:val="single" w:sz="12" w:space="0" w:color="auto"/>
              <w:left w:val="nil"/>
              <w:bottom w:val="nil"/>
              <w:right w:val="nil"/>
            </w:tcBorders>
            <w:shd w:val="clear" w:color="auto" w:fill="auto"/>
            <w:noWrap w:val="0"/>
            <w:tcMar>
              <w:top w:w="-1" w:type="dxa"/>
              <w:left w:w="-1" w:type="dxa"/>
              <w:bottom w:w="-1" w:type="dxa"/>
              <w:right w:w="-1" w:type="dxa"/>
            </w:tcMar>
            <w:vAlign w:val="center"/>
          </w:tcPr>
          <w:p w14:paraId="4CF09404">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人工撒播/条播</w:t>
            </w:r>
          </w:p>
        </w:tc>
        <w:tc>
          <w:tcPr>
            <w:tcW w:w="0" w:type="auto"/>
            <w:tcBorders>
              <w:top w:val="single" w:sz="12" w:space="0" w:color="auto"/>
              <w:left w:val="nil"/>
              <w:bottom w:val="nil"/>
              <w:right w:val="nil"/>
            </w:tcBorders>
            <w:shd w:val="clear" w:color="auto" w:fill="auto"/>
            <w:noWrap w:val="0"/>
            <w:tcMar>
              <w:top w:w="-1" w:type="dxa"/>
              <w:left w:w="-1" w:type="dxa"/>
              <w:bottom w:w="-1" w:type="dxa"/>
              <w:right w:w="-1" w:type="dxa"/>
            </w:tcMar>
            <w:vAlign w:val="center"/>
          </w:tcPr>
          <w:p w14:paraId="39FBA312">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勺轮式机播</w:t>
            </w:r>
          </w:p>
        </w:tc>
        <w:tc>
          <w:tcPr>
            <w:tcW w:w="1906" w:type="dxa"/>
            <w:tcBorders>
              <w:top w:val="single" w:sz="12" w:space="0" w:color="auto"/>
              <w:left w:val="nil"/>
              <w:bottom w:val="nil"/>
              <w:right w:val="nil"/>
            </w:tcBorders>
            <w:shd w:val="clear" w:color="auto" w:fill="auto"/>
            <w:noWrap w:val="0"/>
            <w:tcMar>
              <w:top w:w="-1" w:type="dxa"/>
              <w:left w:w="-1" w:type="dxa"/>
              <w:bottom w:w="-1" w:type="dxa"/>
              <w:right w:w="-1" w:type="dxa"/>
            </w:tcMar>
            <w:vAlign w:val="center"/>
          </w:tcPr>
          <w:p w14:paraId="58558D1C">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气吸式精播</w:t>
            </w:r>
          </w:p>
        </w:tc>
      </w:tr>
      <w:tr w14:paraId="12963797">
        <w:tblPrEx>
          <w:tblW w:w="8519" w:type="dxa"/>
          <w:jc w:val="center"/>
          <w:tblCellMar>
            <w:top w:w="0" w:type="dxa"/>
            <w:left w:w="108" w:type="dxa"/>
            <w:bottom w:w="0" w:type="dxa"/>
            <w:right w:w="108" w:type="dxa"/>
          </w:tblCellMar>
        </w:tblPrEx>
        <w:trPr>
          <w:trHeight w:hRule="auto" w:val="0"/>
          <w:tblHeader/>
          <w:jc w:val="center"/>
        </w:trPr>
        <w:tc>
          <w:tcPr>
            <w:tcW w:w="0" w:type="auto"/>
            <w:tcBorders>
              <w:top w:val="single" w:sz="4" w:space="0" w:color="auto"/>
              <w:left w:val="nil"/>
              <w:bottom w:val="nil"/>
              <w:right w:val="nil"/>
            </w:tcBorders>
            <w:shd w:val="clear" w:color="auto" w:fill="auto"/>
            <w:noWrap w:val="0"/>
            <w:tcMar>
              <w:top w:w="-1" w:type="dxa"/>
              <w:left w:w="-1" w:type="dxa"/>
              <w:bottom w:w="-1" w:type="dxa"/>
              <w:right w:w="-1" w:type="dxa"/>
            </w:tcMar>
            <w:vAlign w:val="center"/>
          </w:tcPr>
          <w:p w14:paraId="62BC0BB3">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出苗率</w:t>
            </w:r>
            <w:r>
              <w:rPr>
                <w:rFonts w:ascii="Times New Roman" w:eastAsia="宋体" w:hAnsi="Times New Roman" w:cs="Times New Roman" w:hint="eastAsia"/>
                <w:b w:val="0"/>
                <w:bCs w:val="0"/>
                <w:color w:val="0000FF"/>
                <w:sz w:val="21"/>
                <w:szCs w:val="21"/>
                <w:lang w:val="en-US" w:eastAsia="zh-CN"/>
              </w:rPr>
              <w:t>（</w:t>
            </w:r>
            <w:r>
              <w:rPr>
                <w:rFonts w:ascii="Times New Roman" w:eastAsia="宋体" w:hAnsi="Times New Roman" w:cs="Times New Roman" w:hint="default"/>
                <w:b w:val="0"/>
                <w:bCs w:val="0"/>
                <w:color w:val="0000FF"/>
                <w:sz w:val="21"/>
                <w:szCs w:val="21"/>
                <w:lang w:val="en-US" w:eastAsia="zh-CN"/>
              </w:rPr>
              <w:t>%</w:t>
            </w:r>
            <w:r>
              <w:rPr>
                <w:rFonts w:ascii="Times New Roman" w:eastAsia="宋体" w:hAnsi="Times New Roman" w:cs="Times New Roman" w:hint="eastAsia"/>
                <w:b w:val="0"/>
                <w:bCs w:val="0"/>
                <w:color w:val="0000FF"/>
                <w:sz w:val="21"/>
                <w:szCs w:val="21"/>
                <w:lang w:val="en-US" w:eastAsia="zh-CN"/>
              </w:rPr>
              <w:t>）</w:t>
            </w:r>
          </w:p>
        </w:tc>
        <w:tc>
          <w:tcPr>
            <w:tcW w:w="0" w:type="auto"/>
            <w:tcBorders>
              <w:top w:val="single" w:sz="4" w:space="0" w:color="auto"/>
              <w:left w:val="nil"/>
              <w:bottom w:val="nil"/>
              <w:right w:val="nil"/>
            </w:tcBorders>
            <w:shd w:val="clear" w:color="auto" w:fill="auto"/>
            <w:noWrap w:val="0"/>
            <w:tcMar>
              <w:top w:w="-1" w:type="dxa"/>
              <w:left w:w="-1" w:type="dxa"/>
              <w:bottom w:w="-1" w:type="dxa"/>
              <w:right w:w="-1" w:type="dxa"/>
            </w:tcMar>
            <w:vAlign w:val="center"/>
          </w:tcPr>
          <w:p w14:paraId="51F2BD26">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80</w:t>
            </w:r>
            <w:r>
              <w:rPr>
                <w:rFonts w:ascii="Times New Roman" w:eastAsia="宋体" w:hAnsi="Times New Roman" w:cs="Times New Roman" w:hint="eastAsia"/>
                <w:b w:val="0"/>
                <w:bCs w:val="0"/>
                <w:color w:val="0000FF"/>
                <w:sz w:val="21"/>
                <w:szCs w:val="21"/>
                <w:lang w:val="en-US" w:eastAsia="zh-CN"/>
              </w:rPr>
              <w:t>~</w:t>
            </w:r>
            <w:r>
              <w:rPr>
                <w:rFonts w:ascii="Times New Roman" w:eastAsia="宋体" w:hAnsi="Times New Roman" w:cs="Times New Roman" w:hint="default"/>
                <w:b w:val="0"/>
                <w:bCs w:val="0"/>
                <w:color w:val="0000FF"/>
                <w:sz w:val="21"/>
                <w:szCs w:val="21"/>
                <w:lang w:val="en-US" w:eastAsia="zh-CN"/>
              </w:rPr>
              <w:t>85</w:t>
            </w:r>
          </w:p>
        </w:tc>
        <w:tc>
          <w:tcPr>
            <w:tcW w:w="0" w:type="auto"/>
            <w:tcBorders>
              <w:top w:val="single" w:sz="4" w:space="0" w:color="auto"/>
              <w:left w:val="nil"/>
              <w:bottom w:val="nil"/>
              <w:right w:val="nil"/>
            </w:tcBorders>
            <w:shd w:val="clear" w:color="auto" w:fill="auto"/>
            <w:noWrap w:val="0"/>
            <w:tcMar>
              <w:top w:w="-1" w:type="dxa"/>
              <w:left w:w="-1" w:type="dxa"/>
              <w:bottom w:w="-1" w:type="dxa"/>
              <w:right w:w="-1" w:type="dxa"/>
            </w:tcMar>
            <w:vAlign w:val="center"/>
          </w:tcPr>
          <w:p w14:paraId="17059764">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88</w:t>
            </w:r>
            <w:r>
              <w:rPr>
                <w:rFonts w:ascii="Times New Roman" w:eastAsia="宋体" w:hAnsi="Times New Roman" w:cs="Times New Roman" w:hint="eastAsia"/>
                <w:b w:val="0"/>
                <w:bCs w:val="0"/>
                <w:color w:val="0000FF"/>
                <w:sz w:val="21"/>
                <w:szCs w:val="21"/>
                <w:lang w:val="en-US" w:eastAsia="zh-CN"/>
              </w:rPr>
              <w:t>~</w:t>
            </w:r>
            <w:r>
              <w:rPr>
                <w:rFonts w:ascii="Times New Roman" w:eastAsia="宋体" w:hAnsi="Times New Roman" w:cs="Times New Roman" w:hint="default"/>
                <w:b w:val="0"/>
                <w:bCs w:val="0"/>
                <w:color w:val="0000FF"/>
                <w:sz w:val="21"/>
                <w:szCs w:val="21"/>
                <w:lang w:val="en-US" w:eastAsia="zh-CN"/>
              </w:rPr>
              <w:t>92</w:t>
            </w:r>
          </w:p>
        </w:tc>
        <w:tc>
          <w:tcPr>
            <w:tcW w:w="1906" w:type="dxa"/>
            <w:tcBorders>
              <w:top w:val="single" w:sz="4" w:space="0" w:color="auto"/>
              <w:left w:val="nil"/>
              <w:bottom w:val="nil"/>
              <w:right w:val="nil"/>
            </w:tcBorders>
            <w:shd w:val="clear" w:color="auto" w:fill="auto"/>
            <w:noWrap w:val="0"/>
            <w:tcMar>
              <w:top w:w="-1" w:type="dxa"/>
              <w:left w:w="-1" w:type="dxa"/>
              <w:bottom w:w="-1" w:type="dxa"/>
              <w:right w:w="-1" w:type="dxa"/>
            </w:tcMar>
            <w:vAlign w:val="center"/>
          </w:tcPr>
          <w:p w14:paraId="29C32873">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93</w:t>
            </w:r>
            <w:r>
              <w:rPr>
                <w:rFonts w:ascii="Times New Roman" w:eastAsia="宋体" w:hAnsi="Times New Roman" w:cs="Times New Roman" w:hint="eastAsia"/>
                <w:b w:val="0"/>
                <w:bCs w:val="0"/>
                <w:color w:val="0000FF"/>
                <w:sz w:val="21"/>
                <w:szCs w:val="21"/>
                <w:lang w:val="en-US" w:eastAsia="zh-CN"/>
              </w:rPr>
              <w:t>~</w:t>
            </w:r>
            <w:r>
              <w:rPr>
                <w:rFonts w:ascii="Times New Roman" w:eastAsia="宋体" w:hAnsi="Times New Roman" w:cs="Times New Roman" w:hint="default"/>
                <w:b w:val="0"/>
                <w:bCs w:val="0"/>
                <w:color w:val="0000FF"/>
                <w:sz w:val="21"/>
                <w:szCs w:val="21"/>
                <w:lang w:val="en-US" w:eastAsia="zh-CN"/>
              </w:rPr>
              <w:t>98</w:t>
            </w:r>
          </w:p>
        </w:tc>
      </w:tr>
      <w:tr w14:paraId="24E3B2F1">
        <w:tblPrEx>
          <w:tblW w:w="8519" w:type="dxa"/>
          <w:jc w:val="center"/>
          <w:tblCellMar>
            <w:top w:w="0" w:type="dxa"/>
            <w:left w:w="108" w:type="dxa"/>
            <w:bottom w:w="0" w:type="dxa"/>
            <w:right w:w="108" w:type="dxa"/>
          </w:tblCellMar>
        </w:tblPrEx>
        <w:trPr>
          <w:trHeight w:hRule="auto" w:val="0"/>
          <w:tblHeader/>
          <w:jc w:val="center"/>
        </w:trPr>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14:paraId="76DADA0E">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用种量</w:t>
            </w:r>
            <w:r>
              <w:rPr>
                <w:rFonts w:ascii="Times New Roman" w:eastAsia="宋体" w:hAnsi="Times New Roman" w:cs="Times New Roman" w:hint="eastAsia"/>
                <w:b w:val="0"/>
                <w:bCs w:val="0"/>
                <w:color w:val="0000FF"/>
                <w:sz w:val="21"/>
                <w:szCs w:val="21"/>
                <w:lang w:val="en-US" w:eastAsia="zh-CN"/>
              </w:rPr>
              <w:t>（</w:t>
            </w:r>
            <w:r>
              <w:rPr>
                <w:rFonts w:ascii="Times New Roman" w:eastAsia="宋体" w:hAnsi="Times New Roman" w:cs="Times New Roman" w:hint="default"/>
                <w:b w:val="0"/>
                <w:bCs w:val="0"/>
                <w:color w:val="0000FF"/>
                <w:sz w:val="21"/>
                <w:szCs w:val="21"/>
                <w:lang w:val="en-US" w:eastAsia="zh-CN"/>
              </w:rPr>
              <w:t>kg/亩</w:t>
            </w:r>
            <w:r>
              <w:rPr>
                <w:rFonts w:ascii="Times New Roman" w:eastAsia="宋体" w:hAnsi="Times New Roman" w:cs="Times New Roman" w:hint="eastAsia"/>
                <w:b w:val="0"/>
                <w:bCs w:val="0"/>
                <w:color w:val="0000FF"/>
                <w:sz w:val="21"/>
                <w:szCs w:val="21"/>
                <w:lang w:val="en-US" w:eastAsia="zh-CN"/>
              </w:rPr>
              <w:t>）</w:t>
            </w:r>
          </w:p>
        </w:tc>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14:paraId="02987D47">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2.5</w:t>
            </w:r>
            <w:r>
              <w:rPr>
                <w:rFonts w:ascii="Times New Roman" w:eastAsia="宋体" w:hAnsi="Times New Roman" w:cs="Times New Roman" w:hint="eastAsia"/>
                <w:b w:val="0"/>
                <w:bCs w:val="0"/>
                <w:color w:val="0000FF"/>
                <w:sz w:val="21"/>
                <w:szCs w:val="21"/>
                <w:lang w:val="en-US" w:eastAsia="zh-CN"/>
              </w:rPr>
              <w:t>~</w:t>
            </w:r>
            <w:r>
              <w:rPr>
                <w:rFonts w:ascii="Times New Roman" w:eastAsia="宋体" w:hAnsi="Times New Roman" w:cs="Times New Roman" w:hint="default"/>
                <w:b w:val="0"/>
                <w:bCs w:val="0"/>
                <w:color w:val="0000FF"/>
                <w:sz w:val="21"/>
                <w:szCs w:val="21"/>
                <w:lang w:val="en-US" w:eastAsia="zh-CN"/>
              </w:rPr>
              <w:t>3.0</w:t>
            </w:r>
          </w:p>
        </w:tc>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14:paraId="2B55969A">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2.0</w:t>
            </w:r>
            <w:r>
              <w:rPr>
                <w:rFonts w:ascii="Times New Roman" w:eastAsia="宋体" w:hAnsi="Times New Roman" w:cs="Times New Roman" w:hint="eastAsia"/>
                <w:b w:val="0"/>
                <w:bCs w:val="0"/>
                <w:color w:val="0000FF"/>
                <w:sz w:val="21"/>
                <w:szCs w:val="21"/>
                <w:lang w:val="en-US" w:eastAsia="zh-CN"/>
              </w:rPr>
              <w:t>~</w:t>
            </w:r>
            <w:r>
              <w:rPr>
                <w:rFonts w:ascii="Times New Roman" w:eastAsia="宋体" w:hAnsi="Times New Roman" w:cs="Times New Roman" w:hint="default"/>
                <w:b w:val="0"/>
                <w:bCs w:val="0"/>
                <w:color w:val="0000FF"/>
                <w:sz w:val="21"/>
                <w:szCs w:val="21"/>
                <w:lang w:val="en-US" w:eastAsia="zh-CN"/>
              </w:rPr>
              <w:t>2.5</w:t>
            </w:r>
          </w:p>
        </w:tc>
        <w:tc>
          <w:tcPr>
            <w:tcW w:w="1906" w:type="dxa"/>
            <w:tcBorders>
              <w:top w:val="nil"/>
              <w:left w:val="nil"/>
              <w:bottom w:val="nil"/>
              <w:right w:val="nil"/>
            </w:tcBorders>
            <w:shd w:val="clear" w:color="auto" w:fill="auto"/>
            <w:noWrap w:val="0"/>
            <w:tcMar>
              <w:top w:w="-1" w:type="dxa"/>
              <w:left w:w="-1" w:type="dxa"/>
              <w:bottom w:w="-1" w:type="dxa"/>
              <w:right w:w="-1" w:type="dxa"/>
            </w:tcMar>
            <w:vAlign w:val="center"/>
          </w:tcPr>
          <w:p w14:paraId="302C0827">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1.2</w:t>
            </w:r>
            <w:r>
              <w:rPr>
                <w:rFonts w:ascii="Times New Roman" w:eastAsia="宋体" w:hAnsi="Times New Roman" w:cs="Times New Roman" w:hint="eastAsia"/>
                <w:b w:val="0"/>
                <w:bCs w:val="0"/>
                <w:color w:val="0000FF"/>
                <w:sz w:val="21"/>
                <w:szCs w:val="21"/>
                <w:lang w:val="en-US" w:eastAsia="zh-CN"/>
              </w:rPr>
              <w:t>~</w:t>
            </w:r>
            <w:r>
              <w:rPr>
                <w:rFonts w:ascii="Times New Roman" w:eastAsia="宋体" w:hAnsi="Times New Roman" w:cs="Times New Roman" w:hint="default"/>
                <w:b w:val="0"/>
                <w:bCs w:val="0"/>
                <w:color w:val="0000FF"/>
                <w:sz w:val="21"/>
                <w:szCs w:val="21"/>
                <w:lang w:val="en-US" w:eastAsia="zh-CN"/>
              </w:rPr>
              <w:t>1.8</w:t>
            </w:r>
          </w:p>
        </w:tc>
      </w:tr>
      <w:tr w14:paraId="5CDA85A0">
        <w:tblPrEx>
          <w:tblW w:w="8519" w:type="dxa"/>
          <w:jc w:val="center"/>
          <w:tblCellMar>
            <w:top w:w="0" w:type="dxa"/>
            <w:left w:w="108" w:type="dxa"/>
            <w:bottom w:w="0" w:type="dxa"/>
            <w:right w:w="108" w:type="dxa"/>
          </w:tblCellMar>
        </w:tblPrEx>
        <w:trPr>
          <w:trHeight w:hRule="auto" w:val="0"/>
          <w:tblHeader/>
          <w:jc w:val="center"/>
        </w:trPr>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14:paraId="6DF6118D">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间苗用工</w:t>
            </w:r>
            <w:r>
              <w:rPr>
                <w:rFonts w:ascii="Times New Roman" w:eastAsia="宋体" w:hAnsi="Times New Roman" w:cs="Times New Roman" w:hint="eastAsia"/>
                <w:b w:val="0"/>
                <w:bCs w:val="0"/>
                <w:color w:val="0000FF"/>
                <w:sz w:val="21"/>
                <w:szCs w:val="21"/>
                <w:lang w:val="en-US" w:eastAsia="zh-CN"/>
              </w:rPr>
              <w:t>（</w:t>
            </w:r>
            <w:r>
              <w:rPr>
                <w:rFonts w:ascii="Times New Roman" w:eastAsia="宋体" w:hAnsi="Times New Roman" w:cs="Times New Roman" w:hint="default"/>
                <w:b w:val="0"/>
                <w:bCs w:val="0"/>
                <w:color w:val="0000FF"/>
                <w:sz w:val="21"/>
                <w:szCs w:val="21"/>
                <w:lang w:val="en-US" w:eastAsia="zh-CN"/>
              </w:rPr>
              <w:t>个/亩</w:t>
            </w:r>
            <w:r>
              <w:rPr>
                <w:rFonts w:ascii="Times New Roman" w:eastAsia="宋体" w:hAnsi="Times New Roman" w:cs="Times New Roman" w:hint="eastAsia"/>
                <w:b w:val="0"/>
                <w:bCs w:val="0"/>
                <w:color w:val="0000FF"/>
                <w:sz w:val="21"/>
                <w:szCs w:val="21"/>
                <w:lang w:val="en-US" w:eastAsia="zh-CN"/>
              </w:rPr>
              <w:t>）</w:t>
            </w:r>
          </w:p>
        </w:tc>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14:paraId="3C1EC6F9">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0.3</w:t>
            </w:r>
            <w:r>
              <w:rPr>
                <w:rFonts w:ascii="Times New Roman" w:eastAsia="宋体" w:hAnsi="Times New Roman" w:cs="Times New Roman" w:hint="eastAsia"/>
                <w:b w:val="0"/>
                <w:bCs w:val="0"/>
                <w:color w:val="0000FF"/>
                <w:sz w:val="21"/>
                <w:szCs w:val="21"/>
                <w:lang w:val="en-US" w:eastAsia="zh-CN"/>
              </w:rPr>
              <w:t>~</w:t>
            </w:r>
            <w:r>
              <w:rPr>
                <w:rFonts w:ascii="Times New Roman" w:eastAsia="宋体" w:hAnsi="Times New Roman" w:cs="Times New Roman" w:hint="default"/>
                <w:b w:val="0"/>
                <w:bCs w:val="0"/>
                <w:color w:val="0000FF"/>
                <w:sz w:val="21"/>
                <w:szCs w:val="21"/>
                <w:lang w:val="en-US" w:eastAsia="zh-CN"/>
              </w:rPr>
              <w:t>0.5</w:t>
            </w:r>
          </w:p>
        </w:tc>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14:paraId="3C60A372">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0.1</w:t>
            </w:r>
            <w:r>
              <w:rPr>
                <w:rFonts w:ascii="Times New Roman" w:eastAsia="宋体" w:hAnsi="Times New Roman" w:cs="Times New Roman" w:hint="eastAsia"/>
                <w:b w:val="0"/>
                <w:bCs w:val="0"/>
                <w:color w:val="0000FF"/>
                <w:sz w:val="21"/>
                <w:szCs w:val="21"/>
                <w:lang w:val="en-US" w:eastAsia="zh-CN"/>
              </w:rPr>
              <w:t>~</w:t>
            </w:r>
            <w:r>
              <w:rPr>
                <w:rFonts w:ascii="Times New Roman" w:eastAsia="宋体" w:hAnsi="Times New Roman" w:cs="Times New Roman" w:hint="default"/>
                <w:b w:val="0"/>
                <w:bCs w:val="0"/>
                <w:color w:val="0000FF"/>
                <w:sz w:val="21"/>
                <w:szCs w:val="21"/>
                <w:lang w:val="en-US" w:eastAsia="zh-CN"/>
              </w:rPr>
              <w:t>0.2</w:t>
            </w:r>
          </w:p>
        </w:tc>
        <w:tc>
          <w:tcPr>
            <w:tcW w:w="1906" w:type="dxa"/>
            <w:tcBorders>
              <w:top w:val="nil"/>
              <w:left w:val="nil"/>
              <w:bottom w:val="nil"/>
              <w:right w:val="nil"/>
            </w:tcBorders>
            <w:shd w:val="clear" w:color="auto" w:fill="auto"/>
            <w:noWrap w:val="0"/>
            <w:tcMar>
              <w:top w:w="-1" w:type="dxa"/>
              <w:left w:w="-1" w:type="dxa"/>
              <w:bottom w:w="-1" w:type="dxa"/>
              <w:right w:w="-1" w:type="dxa"/>
            </w:tcMar>
            <w:vAlign w:val="center"/>
          </w:tcPr>
          <w:p w14:paraId="143980CD">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0</w:t>
            </w:r>
          </w:p>
        </w:tc>
      </w:tr>
      <w:tr w14:paraId="2666D733">
        <w:tblPrEx>
          <w:tblW w:w="8519" w:type="dxa"/>
          <w:jc w:val="center"/>
          <w:tblCellMar>
            <w:top w:w="0" w:type="dxa"/>
            <w:left w:w="108" w:type="dxa"/>
            <w:bottom w:w="0" w:type="dxa"/>
            <w:right w:w="108" w:type="dxa"/>
          </w:tblCellMar>
        </w:tblPrEx>
        <w:trPr>
          <w:trHeight w:hRule="auto" w:val="0"/>
          <w:tblHeader/>
          <w:jc w:val="center"/>
        </w:trPr>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14:paraId="395668F7">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较人工增产</w:t>
            </w:r>
            <w:r>
              <w:rPr>
                <w:rFonts w:ascii="Times New Roman" w:eastAsia="宋体" w:hAnsi="Times New Roman" w:cs="Times New Roman" w:hint="eastAsia"/>
                <w:b w:val="0"/>
                <w:bCs w:val="0"/>
                <w:color w:val="0000FF"/>
                <w:sz w:val="21"/>
                <w:szCs w:val="21"/>
                <w:lang w:val="en-US" w:eastAsia="zh-CN"/>
              </w:rPr>
              <w:t>（</w:t>
            </w:r>
            <w:r>
              <w:rPr>
                <w:rFonts w:ascii="Times New Roman" w:eastAsia="宋体" w:hAnsi="Times New Roman" w:cs="Times New Roman" w:hint="default"/>
                <w:b w:val="0"/>
                <w:bCs w:val="0"/>
                <w:color w:val="0000FF"/>
                <w:sz w:val="21"/>
                <w:szCs w:val="21"/>
                <w:lang w:val="en-US" w:eastAsia="zh-CN"/>
              </w:rPr>
              <w:t>%</w:t>
            </w:r>
            <w:r>
              <w:rPr>
                <w:rFonts w:ascii="Times New Roman" w:eastAsia="宋体" w:hAnsi="Times New Roman" w:cs="Times New Roman" w:hint="eastAsia"/>
                <w:b w:val="0"/>
                <w:bCs w:val="0"/>
                <w:color w:val="0000FF"/>
                <w:sz w:val="21"/>
                <w:szCs w:val="21"/>
                <w:lang w:val="en-US" w:eastAsia="zh-CN"/>
              </w:rPr>
              <w:t>）</w:t>
            </w:r>
          </w:p>
        </w:tc>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14:paraId="52A84798">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w:t>
            </w:r>
          </w:p>
        </w:tc>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14:paraId="2A327356">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5</w:t>
            </w:r>
            <w:r>
              <w:rPr>
                <w:rFonts w:ascii="Times New Roman" w:eastAsia="宋体" w:hAnsi="Times New Roman" w:cs="Times New Roman" w:hint="eastAsia"/>
                <w:b w:val="0"/>
                <w:bCs w:val="0"/>
                <w:color w:val="0000FF"/>
                <w:sz w:val="21"/>
                <w:szCs w:val="21"/>
                <w:lang w:val="en-US" w:eastAsia="zh-CN"/>
              </w:rPr>
              <w:t>~</w:t>
            </w:r>
            <w:r>
              <w:rPr>
                <w:rFonts w:ascii="Times New Roman" w:eastAsia="宋体" w:hAnsi="Times New Roman" w:cs="Times New Roman" w:hint="default"/>
                <w:b w:val="0"/>
                <w:bCs w:val="0"/>
                <w:color w:val="0000FF"/>
                <w:sz w:val="21"/>
                <w:szCs w:val="21"/>
                <w:lang w:val="en-US" w:eastAsia="zh-CN"/>
              </w:rPr>
              <w:t>10</w:t>
            </w:r>
          </w:p>
        </w:tc>
        <w:tc>
          <w:tcPr>
            <w:tcW w:w="1906" w:type="dxa"/>
            <w:tcBorders>
              <w:top w:val="nil"/>
              <w:left w:val="nil"/>
              <w:bottom w:val="nil"/>
              <w:right w:val="nil"/>
            </w:tcBorders>
            <w:shd w:val="clear" w:color="auto" w:fill="auto"/>
            <w:noWrap w:val="0"/>
            <w:tcMar>
              <w:top w:w="-1" w:type="dxa"/>
              <w:left w:w="-1" w:type="dxa"/>
              <w:bottom w:w="-1" w:type="dxa"/>
              <w:right w:w="-1" w:type="dxa"/>
            </w:tcMar>
            <w:vAlign w:val="center"/>
          </w:tcPr>
          <w:p w14:paraId="582F401E">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10</w:t>
            </w:r>
            <w:r>
              <w:rPr>
                <w:rFonts w:ascii="Times New Roman" w:eastAsia="宋体" w:hAnsi="Times New Roman" w:cs="Times New Roman" w:hint="eastAsia"/>
                <w:b w:val="0"/>
                <w:bCs w:val="0"/>
                <w:color w:val="0000FF"/>
                <w:sz w:val="21"/>
                <w:szCs w:val="21"/>
                <w:lang w:val="en-US" w:eastAsia="zh-CN"/>
              </w:rPr>
              <w:t>~</w:t>
            </w:r>
            <w:r>
              <w:rPr>
                <w:rFonts w:ascii="Times New Roman" w:eastAsia="宋体" w:hAnsi="Times New Roman" w:cs="Times New Roman" w:hint="default"/>
                <w:b w:val="0"/>
                <w:bCs w:val="0"/>
                <w:color w:val="0000FF"/>
                <w:sz w:val="21"/>
                <w:szCs w:val="21"/>
                <w:lang w:val="en-US" w:eastAsia="zh-CN"/>
              </w:rPr>
              <w:t>15</w:t>
            </w:r>
          </w:p>
        </w:tc>
      </w:tr>
      <w:tr w14:paraId="6CDA722F">
        <w:tblPrEx>
          <w:tblW w:w="8519" w:type="dxa"/>
          <w:jc w:val="center"/>
          <w:tblCellMar>
            <w:top w:w="0" w:type="dxa"/>
            <w:left w:w="108" w:type="dxa"/>
            <w:bottom w:w="0" w:type="dxa"/>
            <w:right w:w="108" w:type="dxa"/>
          </w:tblCellMar>
        </w:tblPrEx>
        <w:trPr>
          <w:trHeight w:hRule="auto" w:val="0"/>
          <w:tblHeader/>
          <w:jc w:val="center"/>
        </w:trPr>
        <w:tc>
          <w:tcPr>
            <w:tcW w:w="2498" w:type="dxa"/>
            <w:tcBorders>
              <w:top w:val="nil"/>
              <w:left w:val="nil"/>
              <w:bottom w:val="single" w:sz="12" w:space="0" w:color="auto"/>
              <w:right w:val="nil"/>
            </w:tcBorders>
            <w:shd w:val="clear" w:color="auto" w:fill="auto"/>
            <w:noWrap w:val="0"/>
            <w:tcMar>
              <w:top w:w="-1" w:type="dxa"/>
              <w:left w:w="-1" w:type="dxa"/>
              <w:bottom w:w="-1" w:type="dxa"/>
              <w:right w:w="-1" w:type="dxa"/>
            </w:tcMar>
            <w:vAlign w:val="center"/>
          </w:tcPr>
          <w:p w14:paraId="56CB2F3B">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种子成本降低</w:t>
            </w:r>
            <w:r>
              <w:rPr>
                <w:rFonts w:ascii="Times New Roman" w:eastAsia="宋体" w:hAnsi="Times New Roman" w:cs="Times New Roman" w:hint="eastAsia"/>
                <w:b w:val="0"/>
                <w:bCs w:val="0"/>
                <w:color w:val="0000FF"/>
                <w:sz w:val="21"/>
                <w:szCs w:val="21"/>
                <w:lang w:val="en-US" w:eastAsia="zh-CN"/>
              </w:rPr>
              <w:t>（</w:t>
            </w:r>
            <w:r>
              <w:rPr>
                <w:rFonts w:ascii="Times New Roman" w:eastAsia="宋体" w:hAnsi="Times New Roman" w:cs="Times New Roman" w:hint="default"/>
                <w:b w:val="0"/>
                <w:bCs w:val="0"/>
                <w:color w:val="0000FF"/>
                <w:sz w:val="21"/>
                <w:szCs w:val="21"/>
                <w:lang w:val="en-US" w:eastAsia="zh-CN"/>
              </w:rPr>
              <w:t>%</w:t>
            </w:r>
            <w:r>
              <w:rPr>
                <w:rFonts w:ascii="Times New Roman" w:eastAsia="宋体" w:hAnsi="Times New Roman" w:cs="Times New Roman" w:hint="eastAsia"/>
                <w:b w:val="0"/>
                <w:bCs w:val="0"/>
                <w:color w:val="0000FF"/>
                <w:sz w:val="21"/>
                <w:szCs w:val="21"/>
                <w:lang w:val="en-US" w:eastAsia="zh-CN"/>
              </w:rPr>
              <w:t>）</w:t>
            </w:r>
          </w:p>
        </w:tc>
        <w:tc>
          <w:tcPr>
            <w:tcW w:w="2209" w:type="dxa"/>
            <w:tcBorders>
              <w:top w:val="nil"/>
              <w:left w:val="nil"/>
              <w:bottom w:val="single" w:sz="12" w:space="0" w:color="auto"/>
              <w:right w:val="nil"/>
            </w:tcBorders>
            <w:shd w:val="clear" w:color="auto" w:fill="auto"/>
            <w:noWrap w:val="0"/>
            <w:tcMar>
              <w:top w:w="-1" w:type="dxa"/>
              <w:left w:w="-1" w:type="dxa"/>
              <w:bottom w:w="-1" w:type="dxa"/>
              <w:right w:w="-1" w:type="dxa"/>
            </w:tcMar>
            <w:vAlign w:val="center"/>
          </w:tcPr>
          <w:p w14:paraId="7C35D0CF">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w:t>
            </w:r>
          </w:p>
        </w:tc>
        <w:tc>
          <w:tcPr>
            <w:tcW w:w="1906" w:type="dxa"/>
            <w:tcBorders>
              <w:top w:val="nil"/>
              <w:left w:val="nil"/>
              <w:bottom w:val="single" w:sz="12" w:space="0" w:color="auto"/>
              <w:right w:val="nil"/>
            </w:tcBorders>
            <w:shd w:val="clear" w:color="auto" w:fill="auto"/>
            <w:noWrap w:val="0"/>
            <w:tcMar>
              <w:top w:w="-1" w:type="dxa"/>
              <w:left w:w="-1" w:type="dxa"/>
              <w:bottom w:w="-1" w:type="dxa"/>
              <w:right w:w="-1" w:type="dxa"/>
            </w:tcMar>
            <w:vAlign w:val="center"/>
          </w:tcPr>
          <w:p w14:paraId="31F5358F">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10</w:t>
            </w:r>
            <w:r>
              <w:rPr>
                <w:rFonts w:ascii="Times New Roman" w:eastAsia="宋体" w:hAnsi="Times New Roman" w:cs="Times New Roman" w:hint="eastAsia"/>
                <w:b w:val="0"/>
                <w:bCs w:val="0"/>
                <w:color w:val="0000FF"/>
                <w:sz w:val="21"/>
                <w:szCs w:val="21"/>
                <w:lang w:val="en-US" w:eastAsia="zh-CN"/>
              </w:rPr>
              <w:t>~</w:t>
            </w:r>
            <w:r>
              <w:rPr>
                <w:rFonts w:ascii="Times New Roman" w:eastAsia="宋体" w:hAnsi="Times New Roman" w:cs="Times New Roman" w:hint="default"/>
                <w:b w:val="0"/>
                <w:bCs w:val="0"/>
                <w:color w:val="0000FF"/>
                <w:sz w:val="21"/>
                <w:szCs w:val="21"/>
                <w:lang w:val="en-US" w:eastAsia="zh-CN"/>
              </w:rPr>
              <w:t>15</w:t>
            </w:r>
          </w:p>
        </w:tc>
        <w:tc>
          <w:tcPr>
            <w:tcW w:w="1906" w:type="dxa"/>
            <w:tcBorders>
              <w:top w:val="nil"/>
              <w:left w:val="nil"/>
              <w:bottom w:val="single" w:sz="12" w:space="0" w:color="auto"/>
              <w:right w:val="nil"/>
            </w:tcBorders>
            <w:shd w:val="clear" w:color="auto" w:fill="auto"/>
            <w:noWrap w:val="0"/>
            <w:tcMar>
              <w:top w:w="-1" w:type="dxa"/>
              <w:left w:w="-1" w:type="dxa"/>
              <w:bottom w:w="-1" w:type="dxa"/>
              <w:right w:w="-1" w:type="dxa"/>
            </w:tcMar>
            <w:vAlign w:val="center"/>
          </w:tcPr>
          <w:p w14:paraId="66D14D22">
            <w:pPr>
              <w:keepNext/>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25</w:t>
            </w:r>
            <w:r>
              <w:rPr>
                <w:rFonts w:ascii="Times New Roman" w:eastAsia="宋体" w:hAnsi="Times New Roman" w:cs="Times New Roman" w:hint="eastAsia"/>
                <w:b w:val="0"/>
                <w:bCs w:val="0"/>
                <w:color w:val="0000FF"/>
                <w:sz w:val="21"/>
                <w:szCs w:val="21"/>
                <w:lang w:val="en-US" w:eastAsia="zh-CN"/>
              </w:rPr>
              <w:t>~</w:t>
            </w:r>
            <w:r>
              <w:rPr>
                <w:rFonts w:ascii="Times New Roman" w:eastAsia="宋体" w:hAnsi="Times New Roman" w:cs="Times New Roman" w:hint="default"/>
                <w:b w:val="0"/>
                <w:bCs w:val="0"/>
                <w:color w:val="0000FF"/>
                <w:sz w:val="21"/>
                <w:szCs w:val="21"/>
                <w:lang w:val="en-US" w:eastAsia="zh-CN"/>
              </w:rPr>
              <w:t>35</w:t>
            </w:r>
          </w:p>
        </w:tc>
      </w:tr>
    </w:tbl>
    <w:p w14:paraId="69620987">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p>
    <w:p w14:paraId="38E8D307">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3.3播种机械对种植成本效益的影响分析</w:t>
      </w:r>
    </w:p>
    <w:p w14:paraId="31C7B888">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玉米种植成本结构包含种子、化肥、人工、机械作业和土地流转等各项支出，播种机械使用从节种、省工、增效三个方面影响成本收益。精量播种的用种量可以降到1.2～2.0kg/亩，比传统的播种节省种子15%～30%，单粒点播不需要间定苗，每亩可以节省间苗用工0.2～0.3个。复合作业播种机一次进地完成耕、肥、播、压等工序，比单独作业少2～3次进地，燃油消耗和机械作业费用都降低。高性能播种机的购置成本高，但是按作业面积分摊后，亩均机械作业费增加幅度小，而产量提高和成本节约所引起的亩均增收可达50～100元，投资回收期一般为2～3个生产季。</w:t>
      </w:r>
    </w:p>
    <w:p w14:paraId="7F4E5BF4">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4玉米种植中播种机械的推广策略</w:t>
      </w:r>
    </w:p>
    <w:p w14:paraId="45FC4DF1">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4.1农机农艺融合的品种与机具适配</w:t>
      </w:r>
    </w:p>
    <w:p w14:paraId="4F6FF374">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农机和农艺的融合是播种机械效能充分发挥的前提条件，玉米品种的籽粒性状、种植密度要求和株型特征都会影响排种器的选择以及作业参数的确定。育种环节要把适宜机械化播种当作品种选育的目标性状之一，挑选籽粒大小一致、圆整度高、芽率好的自交系和杂交组合，种子生产企业要强化精选分级和包衣加工工艺，使商品种子的粒径分布处在排种器适配区间之内。栽培技术研究要确定不同的品种最佳种植密度和行距配置，给播种机行距调节、排种器传动比设定提供农艺依据</w:t>
      </w:r>
      <w:r>
        <w:rPr>
          <w:rFonts w:ascii="Times New Roman" w:eastAsia="宋体" w:hAnsi="Times New Roman" w:cs="Times New Roman" w:hint="eastAsia"/>
          <w:b w:val="0"/>
          <w:bCs w:val="0"/>
          <w:color w:val="0000FF"/>
          <w:sz w:val="21"/>
          <w:szCs w:val="21"/>
          <w:vertAlign w:val="superscript"/>
          <w:lang w:val="en-US" w:eastAsia="zh-CN"/>
        </w:rPr>
        <w:t>[5]</w:t>
      </w:r>
      <w:r>
        <w:rPr>
          <w:rFonts w:ascii="Times New Roman" w:eastAsia="宋体" w:hAnsi="Times New Roman" w:cs="Times New Roman" w:hint="default"/>
          <w:b w:val="0"/>
          <w:bCs w:val="0"/>
          <w:color w:val="0000FF"/>
          <w:sz w:val="21"/>
          <w:szCs w:val="21"/>
          <w:lang w:val="en-US" w:eastAsia="zh-CN"/>
        </w:rPr>
        <w:t>。农机制造企业应该根据主栽品种的籽粒物理参数来优化排种器型孔尺寸和吸孔规格，开发出可以快速更换的排种单元，使同一台机具可以适应多种品种的播种需求，良种、良法、良机的协同匹配可以最大限度地发挥出机械化播种的增产潜力。</w:t>
      </w:r>
    </w:p>
    <w:p w14:paraId="7F3B028B">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4.2分层分类的机具选型与配置指导</w:t>
      </w:r>
    </w:p>
    <w:p w14:paraId="520BE783">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不同的种植规模和生产条件对于播种机械的需求存在着较大的差别，一刀切式的机具推广方式不能兼顾到效率和经济性，建立分层分类的选型指导体系有利于农户做出合理的购置决策。经营规模在50亩以下的小农户，地块零散、动力机械功率低，宜选用结构简单、价格便宜的勺轮式或者小型指夹式播种机，配25～50马力拖拉机即可完成作业，维护成本低、转场方便。50～500亩的家庭农场和种植大户可以使用中型指夹式或者气吸式精量播种机，配80～120马力拖拉机，作业效率和播种精度都可兼顾，单季作业面积可覆盖自有地块及周边代耕服务。500亩以上规模化农场或者农机服务组织应该首先选用大型气吸式或者气压式复合作业播种机，配套150马力以上的拖拉机，高速作业能力和复式工序集成可以大大降低亩均作业成本，还可以配备GPS定位和变量播种系统，给精准农业管理预留技术接口。</w:t>
      </w:r>
    </w:p>
    <w:p w14:paraId="5E5F550C">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p>
    <w:p w14:paraId="70286A38">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bookmarkStart w:id="0" w:name="_GoBack"/>
      <w:bookmarkEnd w:id="0"/>
      <w:r>
        <w:rPr>
          <w:rFonts w:ascii="Times New Roman" w:eastAsia="宋体" w:hAnsi="Times New Roman" w:cs="Times New Roman" w:hint="default"/>
          <w:b w:val="0"/>
          <w:bCs w:val="0"/>
          <w:color w:val="0000FF"/>
          <w:sz w:val="21"/>
          <w:szCs w:val="21"/>
          <w:lang w:val="en-US" w:eastAsia="zh-CN"/>
        </w:rPr>
        <w:t>5结语</w:t>
      </w:r>
    </w:p>
    <w:p w14:paraId="41FD0B4B">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FF"/>
          <w:sz w:val="21"/>
          <w:szCs w:val="21"/>
          <w:lang w:val="en-US" w:eastAsia="zh-CN"/>
        </w:rPr>
      </w:pPr>
      <w:r>
        <w:rPr>
          <w:rFonts w:ascii="Times New Roman" w:eastAsia="宋体" w:hAnsi="Times New Roman" w:cs="Times New Roman" w:hint="default"/>
          <w:b w:val="0"/>
          <w:bCs w:val="0"/>
          <w:color w:val="0000FF"/>
          <w:sz w:val="21"/>
          <w:szCs w:val="21"/>
          <w:lang w:val="en-US" w:eastAsia="zh-CN"/>
        </w:rPr>
        <w:t>综上所述，玉米播种机械类型演变和技术更新，把播种环节由粗放的人工撒播转变为精准的机械精播，出苗质量、产量水平和成本效益都有了实质性的提高。不同的播种机械在排种精度、作业速度和适用条件上各有侧重，在实际应用中要根据种子性状、土壤条件和种植规模选择合适的播种机械，并严格按照播前准备、参数标定和作业控制等技术要求进行操作。随着变量播种技术、自动导航系统和智能监控装置的融合使用，玉米播种机械会向着更加精准化、智能化、复合作业的方向发展，农机农艺的深度融合以及社会化服务模式的不断完善，将会给玉米产业高质量发展赋予更为有力的技术支撑。</w:t>
      </w:r>
    </w:p>
    <w:p w14:paraId="60B9E860">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color w:val="000000" w:themeColor="text1"/>
          <w:sz w:val="21"/>
          <w:szCs w:val="21"/>
          <w:lang w:val="en-US" w:eastAsia="zh-CN"/>
          <w14:textFill>
            <w14:solidFill>
              <w14:schemeClr w14:val="tx1"/>
            </w14:solidFill>
          </w14:textFill>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B737C5"/>
    <w:rsid w:val="05816F13"/>
    <w:rsid w:val="071C5217"/>
    <w:rsid w:val="14F447EE"/>
    <w:rsid w:val="151C3FA1"/>
    <w:rsid w:val="209D0D1F"/>
    <w:rsid w:val="21F93D33"/>
    <w:rsid w:val="23333E89"/>
    <w:rsid w:val="24B9271A"/>
    <w:rsid w:val="28E61644"/>
    <w:rsid w:val="30601421"/>
    <w:rsid w:val="32144BB9"/>
    <w:rsid w:val="3AE556C9"/>
    <w:rsid w:val="40A427E0"/>
    <w:rsid w:val="42750D5C"/>
    <w:rsid w:val="43754D8C"/>
    <w:rsid w:val="44CF2497"/>
    <w:rsid w:val="4A7C26F6"/>
    <w:rsid w:val="4F513E85"/>
    <w:rsid w:val="508379B2"/>
    <w:rsid w:val="52174C68"/>
    <w:rsid w:val="55990A2D"/>
    <w:rsid w:val="5B4F4A94"/>
    <w:rsid w:val="5E263029"/>
    <w:rsid w:val="62EE4556"/>
    <w:rsid w:val="65447BF7"/>
    <w:rsid w:val="669058B5"/>
    <w:rsid w:val="688D3BBD"/>
    <w:rsid w:val="6B661C66"/>
    <w:rsid w:val="730218E9"/>
    <w:rsid w:val="768728E4"/>
    <w:rsid w:val="77C169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bcac9f63-238f-44b3-ae94-21cb8261cb8f</errorID>
      <errorWord>(</errorWord>
      <group>L1_Format</group>
      <groupName>格式问题</groupName>
      <ability>L2_HalfPunc_CN</ability>
      <abilityName>全半角问题</abilityName>
      <candidateList>
        <item>（</item>
      </candidateList>
      <explain>文本全半角错误。</explain>
      <paraID>62BC0BB3</paraID>
      <start>3</start>
      <end>4</end>
      <status>modified</status>
      <modifiedWord>（</modifiedWord>
      <trackRevisions>false</trackRevisions>
    </reviewItem>
    <reviewItem>
      <errorID>0f7a39e3-c8d4-4f73-8f7a-b69875b87d06</errorID>
      <errorWord>)</errorWord>
      <group>L1_Format</group>
      <groupName>格式问题</groupName>
      <ability>L2_HalfPunc_CN</ability>
      <abilityName>全半角问题</abilityName>
      <candidateList>
        <item>）</item>
      </candidateList>
      <explain>文本全半角错误。</explain>
      <paraID>62BC0BB3</paraID>
      <start>5</start>
      <end>6</end>
      <status>modified</status>
      <modifiedWord>）</modifiedWord>
      <trackRevisions>false</trackRevisions>
    </reviewItem>
    <reviewItem>
      <errorID>44f341a2-eda6-4fdd-9f49-6a26ecac14ba</errorID>
      <errorWord>～</errorWord>
      <group>L1_Format</group>
      <groupName>格式问题</groupName>
      <ability>L2_HalfPunc_CN</ability>
      <abilityName>全半角问题</abilityName>
      <candidateList>
        <item>~</item>
      </candidateList>
      <explain>文本全半角错误。</explain>
      <paraID>51F2BD26</paraID>
      <start>2</start>
      <end>3</end>
      <status>modified</status>
      <modifiedWord>~</modifiedWord>
      <trackRevisions>false</trackRevisions>
    </reviewItem>
    <reviewItem>
      <errorID>c947e143-dbcb-4c74-a009-f4425b11c948</errorID>
      <errorWord>～</errorWord>
      <group>L1_Format</group>
      <groupName>格式问题</groupName>
      <ability>L2_HalfPunc_CN</ability>
      <abilityName>全半角问题</abilityName>
      <candidateList>
        <item>~</item>
      </candidateList>
      <explain>文本全半角错误。</explain>
      <paraID>17059764</paraID>
      <start>2</start>
      <end>3</end>
      <status>modified</status>
      <modifiedWord>~</modifiedWord>
      <trackRevisions>false</trackRevisions>
    </reviewItem>
    <reviewItem>
      <errorID>5bbb21bd-a537-4397-bec3-dd669ed2d808</errorID>
      <errorWord>～</errorWord>
      <group>L1_Format</group>
      <groupName>格式问题</groupName>
      <ability>L2_HalfPunc_CN</ability>
      <abilityName>全半角问题</abilityName>
      <candidateList>
        <item>~</item>
      </candidateList>
      <explain>文本全半角错误。</explain>
      <paraID>29C32873</paraID>
      <start>2</start>
      <end>3</end>
      <status>modified</status>
      <modifiedWord>~</modifiedWord>
      <trackRevisions>false</trackRevisions>
    </reviewItem>
    <reviewItem>
      <errorID>16773692-ad60-4419-accd-f779a420afac</errorID>
      <errorWord>(</errorWord>
      <group>L1_Format</group>
      <groupName>格式问题</groupName>
      <ability>L2_HalfPunc_CN</ability>
      <abilityName>全半角问题</abilityName>
      <candidateList>
        <item>（</item>
      </candidateList>
      <explain>文本全半角错误。</explain>
      <paraID>76DADA0E</paraID>
      <start>3</start>
      <end>4</end>
      <status>modified</status>
      <modifiedWord>（</modifiedWord>
      <trackRevisions>false</trackRevisions>
    </reviewItem>
    <reviewItem>
      <errorID>d8ce57a8-c473-4ba5-a2b2-c6b430bb513d</errorID>
      <errorWord>)</errorWord>
      <group>L1_Format</group>
      <groupName>格式问题</groupName>
      <ability>L2_HalfPunc_CN</ability>
      <abilityName>全半角问题</abilityName>
      <candidateList>
        <item>）</item>
      </candidateList>
      <explain>文本全半角错误。</explain>
      <paraID>76DADA0E</paraID>
      <start>8</start>
      <end>9</end>
      <status>modified</status>
      <modifiedWord>）</modifiedWord>
      <trackRevisions>false</trackRevisions>
    </reviewItem>
    <reviewItem>
      <errorID>76738d68-692a-4e0e-b422-c2208a264e21</errorID>
      <errorWord>～</errorWord>
      <group>L1_Format</group>
      <groupName>格式问题</groupName>
      <ability>L2_HalfPunc_CN</ability>
      <abilityName>全半角问题</abilityName>
      <candidateList>
        <item>~</item>
      </candidateList>
      <explain>文本全半角错误。</explain>
      <paraID> 2987D47</paraID>
      <start>3</start>
      <end>4</end>
      <status>modified</status>
      <modifiedWord>~</modifiedWord>
      <trackRevisions>false</trackRevisions>
    </reviewItem>
    <reviewItem>
      <errorID>5485bb2e-3486-4ccf-8942-156375b963f3</errorID>
      <errorWord>～</errorWord>
      <group>L1_Format</group>
      <groupName>格式问题</groupName>
      <ability>L2_HalfPunc_CN</ability>
      <abilityName>全半角问题</abilityName>
      <candidateList>
        <item>~</item>
      </candidateList>
      <explain>文本全半角错误。</explain>
      <paraID>2B55969A</paraID>
      <start>3</start>
      <end>4</end>
      <status>modified</status>
      <modifiedWord>~</modifiedWord>
      <trackRevisions>false</trackRevisions>
    </reviewItem>
    <reviewItem>
      <errorID>f33ab0ea-8a3d-447c-8bbc-e2910c336b87</errorID>
      <errorWord>～</errorWord>
      <group>L1_Format</group>
      <groupName>格式问题</groupName>
      <ability>L2_HalfPunc_CN</ability>
      <abilityName>全半角问题</abilityName>
      <candidateList>
        <item>~</item>
      </candidateList>
      <explain>文本全半角错误。</explain>
      <paraID>302C0827</paraID>
      <start>3</start>
      <end>4</end>
      <status>modified</status>
      <modifiedWord>~</modifiedWord>
      <trackRevisions>false</trackRevisions>
    </reviewItem>
    <reviewItem>
      <errorID>17a05d48-d53f-4954-ad91-d112c8d388ff</errorID>
      <errorWord>(</errorWord>
      <group>L1_Format</group>
      <groupName>格式问题</groupName>
      <ability>L2_HalfPunc_CN</ability>
      <abilityName>全半角问题</abilityName>
      <candidateList>
        <item>（</item>
      </candidateList>
      <explain>文本全半角错误。</explain>
      <paraID>6DF6118D</paraID>
      <start>4</start>
      <end>5</end>
      <status>modified</status>
      <modifiedWord>（</modifiedWord>
      <trackRevisions>false</trackRevisions>
    </reviewItem>
    <reviewItem>
      <errorID>88d8cb92-72e6-47f3-9f15-4d63c21ea687</errorID>
      <errorWord>)</errorWord>
      <group>L1_Format</group>
      <groupName>格式问题</groupName>
      <ability>L2_HalfPunc_CN</ability>
      <abilityName>全半角问题</abilityName>
      <candidateList>
        <item>）</item>
      </candidateList>
      <explain>文本全半角错误。</explain>
      <paraID>6DF6118D</paraID>
      <start>8</start>
      <end>9</end>
      <status>modified</status>
      <modifiedWord>）</modifiedWord>
      <trackRevisions>false</trackRevisions>
    </reviewItem>
    <reviewItem>
      <errorID>2f6c08e1-c39c-4216-a9ab-909a570213fb</errorID>
      <errorWord>～</errorWord>
      <group>L1_Format</group>
      <groupName>格式问题</groupName>
      <ability>L2_HalfPunc_CN</ability>
      <abilityName>全半角问题</abilityName>
      <candidateList>
        <item>~</item>
      </candidateList>
      <explain>文本全半角错误。</explain>
      <paraID>3C1EC6F9</paraID>
      <start>3</start>
      <end>4</end>
      <status>modified</status>
      <modifiedWord>~</modifiedWord>
      <trackRevisions>false</trackRevisions>
    </reviewItem>
    <reviewItem>
      <errorID>38bb0869-6136-41a6-814d-7e0a91b0927f</errorID>
      <errorWord>～</errorWord>
      <group>L1_Format</group>
      <groupName>格式问题</groupName>
      <ability>L2_HalfPunc_CN</ability>
      <abilityName>全半角问题</abilityName>
      <candidateList>
        <item>~</item>
      </candidateList>
      <explain>文本全半角错误。</explain>
      <paraID>3C60A372</paraID>
      <start>3</start>
      <end>4</end>
      <status>modified</status>
      <modifiedWord>~</modifiedWord>
      <trackRevisions>false</trackRevisions>
    </reviewItem>
    <reviewItem>
      <errorID>cc1c9544-2e0b-45b1-9605-1067303dbf08</errorID>
      <errorWord>(</errorWord>
      <group>L1_Format</group>
      <groupName>格式问题</groupName>
      <ability>L2_HalfPunc_CN</ability>
      <abilityName>全半角问题</abilityName>
      <candidateList>
        <item>（</item>
      </candidateList>
      <explain>文本全半角错误。</explain>
      <paraID>395668F7</paraID>
      <start>5</start>
      <end>6</end>
      <status>modified</status>
      <modifiedWord>（</modifiedWord>
      <trackRevisions>false</trackRevisions>
    </reviewItem>
    <reviewItem>
      <errorID>0fe31cd2-d2db-4605-91f0-58ea45e9e859</errorID>
      <errorWord>)</errorWord>
      <group>L1_Format</group>
      <groupName>格式问题</groupName>
      <ability>L2_HalfPunc_CN</ability>
      <abilityName>全半角问题</abilityName>
      <candidateList>
        <item>）</item>
      </candidateList>
      <explain>文本全半角错误。</explain>
      <paraID>395668F7</paraID>
      <start>7</start>
      <end>8</end>
      <status>modified</status>
      <modifiedWord>）</modifiedWord>
      <trackRevisions>false</trackRevisions>
    </reviewItem>
    <reviewItem>
      <errorID>4851cc28-0cca-45a6-b530-5fbd15c2ab4e</errorID>
      <errorWord>～</errorWord>
      <group>L1_Format</group>
      <groupName>格式问题</groupName>
      <ability>L2_HalfPunc_CN</ability>
      <abilityName>全半角问题</abilityName>
      <candidateList>
        <item>~</item>
      </candidateList>
      <explain>文本全半角错误。</explain>
      <paraID>2A327356</paraID>
      <start>1</start>
      <end>2</end>
      <status>modified</status>
      <modifiedWord>~</modifiedWord>
      <trackRevisions>false</trackRevisions>
    </reviewItem>
    <reviewItem>
      <errorID>36a4518e-642b-4a7c-9032-811ed8d894ff</errorID>
      <errorWord>～</errorWord>
      <group>L1_Format</group>
      <groupName>格式问题</groupName>
      <ability>L2_HalfPunc_CN</ability>
      <abilityName>全半角问题</abilityName>
      <candidateList>
        <item>~</item>
      </candidateList>
      <explain>文本全半角错误。</explain>
      <paraID>582F401E</paraID>
      <start>2</start>
      <end>3</end>
      <status>modified</status>
      <modifiedWord>~</modifiedWord>
      <trackRevisions>false</trackRevisions>
    </reviewItem>
    <reviewItem>
      <errorID>d15ba7d0-5bf9-451c-8aab-e1a1beb91492</errorID>
      <errorWord>(</errorWord>
      <group>L1_Format</group>
      <groupName>格式问题</groupName>
      <ability>L2_HalfPunc_CN</ability>
      <abilityName>全半角问题</abilityName>
      <candidateList>
        <item>（</item>
      </candidateList>
      <explain>文本全半角错误。</explain>
      <paraID>56CB2F3B</paraID>
      <start>6</start>
      <end>7</end>
      <status>modified</status>
      <modifiedWord>（</modifiedWord>
      <trackRevisions>false</trackRevisions>
    </reviewItem>
    <reviewItem>
      <errorID>cef5aa68-5c02-4de7-a14b-8433f8209106</errorID>
      <errorWord>)</errorWord>
      <group>L1_Format</group>
      <groupName>格式问题</groupName>
      <ability>L2_HalfPunc_CN</ability>
      <abilityName>全半角问题</abilityName>
      <candidateList>
        <item>）</item>
      </candidateList>
      <explain>文本全半角错误。</explain>
      <paraID>56CB2F3B</paraID>
      <start>8</start>
      <end>9</end>
      <status>modified</status>
      <modifiedWord>）</modifiedWord>
      <trackRevisions>false</trackRevisions>
    </reviewItem>
    <reviewItem>
      <errorID>eac0086e-45a2-48bb-a13b-07e7ba2f2416</errorID>
      <errorWord>～</errorWord>
      <group>L1_Format</group>
      <groupName>格式问题</groupName>
      <ability>L2_HalfPunc_CN</ability>
      <abilityName>全半角问题</abilityName>
      <candidateList>
        <item>~</item>
      </candidateList>
      <explain>文本全半角错误。</explain>
      <paraID>31F5358F</paraID>
      <start>2</start>
      <end>3</end>
      <status>modified</status>
      <modifiedWord>~</modifiedWord>
      <trackRevisions>false</trackRevisions>
    </reviewItem>
    <reviewItem>
      <errorID>cb03080c-8aaa-49da-b989-e7a66cc1147f</errorID>
      <errorWord>～</errorWord>
      <group>L1_Format</group>
      <groupName>格式问题</groupName>
      <ability>L2_HalfPunc_CN</ability>
      <abilityName>全半角问题</abilityName>
      <candidateList>
        <item>~</item>
      </candidateList>
      <explain>文本全半角错误。</explain>
      <paraID>66D14D22</paraID>
      <start>2</start>
      <end>3</end>
      <status>modified</status>
      <modifiedWord>~</modifiedWord>
      <trackRevisions>false</trackRevisions>
    </reviewItem>
    <reviewItem>
      <errorID>d141e961-7bf9-47f7-8a38-5334e063eaf9</errorID>
      <errorWord>操作合</errorWord>
      <group>L1_Word</group>
      <groupName>字词问题</groupName>
      <ability>L2_Typo</ability>
      <abilityName>字词错误</abilityName>
      <candidateList>
        <item>操作台</item>
      </candidateList>
      <explain/>
      <paraID>58C8FCF4</paraID>
      <start>258</start>
      <end>261</end>
      <status>ignored</status>
      <modifiedWord/>
      <trackRevisions>false</trackRevisions>
    </reviewItem>
  </reviewItems>
  <config/>
</contractReview>
</file>

<file path=customXml/itemProps1.xml><?xml version="1.0" encoding="utf-8"?>
<ds:datastoreItem xmlns:ds="http://schemas.openxmlformats.org/officeDocument/2006/customXml" ds:itemID="{3bc99afd-0d18-4500-a8a9-68799e68a3d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4956</Words>
  <Characters>5401</Characters>
  <Application>Microsoft Office Word</Application>
  <DocSecurity>0</DocSecurity>
  <Lines>0</Lines>
  <Paragraphs>0</Paragraphs>
  <ScaleCrop>false</ScaleCrop>
  <Company/>
  <LinksUpToDate>false</LinksUpToDate>
  <CharactersWithSpaces>5444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Resurgam</cp:lastModifiedBy>
  <cp:revision>0</cp:revision>
  <dcterms:created xsi:type="dcterms:W3CDTF">2026-09-14T00:34:00Z</dcterms:created>
  <dcterms:modified xsi:type="dcterms:W3CDTF">2026-10-12T08:44:48Z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8FF68E5B26B44988866FA949A59AEDE1_13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