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27132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3.3创新点</w:t>
      </w:r>
    </w:p>
    <w:p w14:paraId="2DF6B4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实践创新并不是单纯的理论思辨，而是以浙江产业和高校真实的调研数据为基础，从智能演艺新业态下音乐表演人才培养的现实矛盾入手，提出课程模块、实训模式、指标手册等可以落地的微改造、模块化嵌入，不改变现有的音乐表演专业，适合省内大部分高校推广使用。</w:t>
      </w:r>
    </w:p>
    <w:p w14:paraId="630020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机制创新就是打通产业需求调研、指标构建、校内教学改革、校企协同落地、政府政策配套完整的链条，针对目前校企合作浮于表面的堵点，明确企业项目进课堂的权责边界、考核标准，提出可以执行的产教协同操作模式。</w:t>
      </w:r>
    </w:p>
    <w:p w14:paraId="3713FDCF">
      <w:pPr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评价创新，针对艺术感知难以测评的痛点，创建起契合智能演艺场景的“质性+量化”融合型培育测评指标，冲破以往完全依靠教师主观评判的局限，兼顾艺术审美规律和教学管理实操需求。</w:t>
      </w:r>
    </w:p>
    <w:p w14:paraId="4AE836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4.研究方法和手段</w:t>
      </w:r>
    </w:p>
    <w:p w14:paraId="3500D5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本项目严格按照软科学应用性导向，采用实地调研访谈、问卷调查、案例比较、统计分析、专家咨询等多种方式相结合的方式进行，一般项目调研不少于10家单位，凝练不少于5个正反面案例。</w:t>
      </w:r>
    </w:p>
    <w:p w14:paraId="3BF3F9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（1）问卷调查法：</w:t>
      </w:r>
      <w:r>
        <w:rPr>
          <w:rFonts w:hint="eastAsia"/>
          <w:color w:val="0000FF"/>
          <w:lang w:val="en-US" w:eastAsia="zh-CN"/>
        </w:rPr>
        <w:t>设计两套问卷，第一套是面向省内高校音乐表演师生，采集课程开设、实训条件、能力短板等数据；第二套是面向智能演艺企业从业人员，采集岗位用人需求。对问卷数据进行统计分析，定量了解供需错配情况。</w:t>
      </w:r>
    </w:p>
    <w:p w14:paraId="467B35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（5）归纳演绎法：</w:t>
      </w:r>
      <w:r>
        <w:rPr>
          <w:rFonts w:hint="eastAsia"/>
          <w:color w:val="0000FF"/>
          <w:lang w:val="en-US" w:eastAsia="zh-CN"/>
        </w:rPr>
        <w:t>根据调研、案例素材归纳提炼出问题的原因，并且结合浙江省数字文化产业政策、高校教学管理规则，得出培育路径和政策对策。</w:t>
      </w:r>
    </w:p>
    <w:p w14:paraId="5F3F5A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5.研究实施周期（2027.1.1‑2027.12.31）</w:t>
      </w:r>
    </w:p>
    <w:p w14:paraId="0678A9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阶段1（2027年1月到2027年4月），文献梳理、问卷、访谈提纲设计、实地调研、问卷发放、企业高校走访、案例素材收集、初步调研数据集。</w:t>
      </w:r>
    </w:p>
    <w:p w14:paraId="2C31EB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阶段2（2027年5月-2027年8月），整理调研数据，对案例进行分析，建立艺术感知培养指标体系，初步形成培育路径框架，对第一轮专家咨询意见进行修改完善，形成第二轮专家咨询意见。</w:t>
      </w:r>
    </w:p>
    <w:p w14:paraId="790C3B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阶段三（2027年9月到2027年11月）完善培育路径、撰写政策建议、编制指标手册和案例汇编、第二轮专家论证、修改研究报告全部文稿。</w:t>
      </w:r>
    </w:p>
    <w:p w14:paraId="218DD6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阶段四（2027年12月）成果汇总，打磨最终研究报告，完成项目结题，对接相关主管部门推送研究成果。</w:t>
      </w:r>
    </w:p>
    <w:p w14:paraId="3D5A104C">
      <w:pPr>
        <w:rPr>
          <w:rFonts w:ascii="宋体" w:eastAsia="宋体" w:hAnsi="宋体" w:cs="宋体" w:hint="eastAsia"/>
          <w:b w:val="0"/>
          <w:bCs/>
          <w:sz w:val="21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8A32EC"/>
    <w:rsid w:val="29737135"/>
    <w:rsid w:val="2BA06FFC"/>
    <w:rsid w:val="36196C90"/>
    <w:rsid w:val="60C35F87"/>
    <w:rsid w:val="68153DC7"/>
    <w:rsid w:val="7FB92E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1787</Words>
  <Characters>1805</Characters>
  <Application>Microsoft Office Word</Application>
  <DocSecurity>0</DocSecurity>
  <Lines>0</Lines>
  <Paragraphs>0</Paragraphs>
  <ScaleCrop>false</ScaleCrop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2026-10-05T03:40:00Z</dcterms:created>
  <dcterms:modified xsi:type="dcterms:W3CDTF">2026-10-10T01:49:46Z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