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E9D788">
      <w:pP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该组共43人，男18名、女25名，年龄介于35至68岁间，均值为52.36岁，标准差8.72；患病时长自3月延伸至5载，平均持续2.84年，波动幅度1.37。该组痰湿体质者共43人，男20名、女23名，年龄介于38至70岁间，均值为54.18岁（标准差7.94）；患病时长自两月延伸至六年不等，平均历时3.12年（波动幅度±1.58）。两组在性别比例、年龄层次及患病时长等基础特征上无显著统计差异（P&gt;0.05），具备良好对照价值。</w:t>
      </w:r>
    </w:p>
    <w:p w14:paraId="09E95D73">
      <w:pP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p w14:paraId="79F8350C">
      <w:pP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针感既至，施以平补平泻之法，留置二十分钟，每隔半刻运针一次。每二十四小时施治一次，十日构成完整周期，需连贯执行两轮。</w:t>
      </w:r>
    </w:p>
    <w:p w14:paraId="520A1392">
      <w:pP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p w14:paraId="057247B9">
      <w:pPr>
        <w:numPr>
          <w:ilvl w:val="0"/>
          <w:numId w:val="1"/>
        </w:numP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在干预前后，分别</w:t>
      </w: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  <w:lang w:eastAsia="zh-CN"/>
        </w:rPr>
        <w:t>对</w:t>
      </w: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两组受试者左侧、右侧椎动脉及基底动脉的平均血流速率进行测定，每条血管重复采集三次数据后取均值作为最终结果。</w:t>
      </w:r>
    </w:p>
    <w:p w14:paraId="462677D1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p w14:paraId="5C272C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/>
        <w:jc w:val="both"/>
        <w:textAlignment w:val="auto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）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临床疗效评定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：</w:t>
      </w: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眩晕感彻底消退，相关不适显著减轻，日常劳作与起居已无碍。眩晕感大幅缓解，发作次数锐减，相关不适多已消退。眩晕感已趋缓和</w:t>
      </w:r>
      <w:bookmarkStart w:id="0" w:name="_GoBack"/>
      <w:bookmarkEnd w:id="0"/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，发作次数减少，相关不适亦见改善。疗效总比率由痊愈、显著改善及部分缓解的病例数相加后，再除以全部受试者数量得出。</w:t>
      </w:r>
    </w:p>
    <w:p w14:paraId="5370DA85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p w14:paraId="4260B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宋体" w:eastAsia="宋体" w:hAnsi="宋体" w:cs="宋体" w:hint="eastAsia"/>
          <w:b w:val="0"/>
          <w:bCs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1.4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统计学方法</w:t>
      </w:r>
    </w:p>
    <w:p w14:paraId="1EF937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/>
        <w:jc w:val="both"/>
        <w:textAlignment w:val="auto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  <w:t>数据以均值加减标准差形式呈现，组内干预前后差异用配对t检验分析，组间差异则通过独立样本t检验评估。分类数据以频数及比例呈现，组别差异通过卡方分析判定。</w:t>
      </w:r>
    </w:p>
    <w:p w14:paraId="2DAB88AB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p w14:paraId="60F54E17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bCs/>
          <w:color w:val="0000FF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C455ACDD"/>
    <w:multiLevelType w:val="singleLevel"/>
    <w:tmpl w:val="C455ACDD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9F7D1B"/>
    <w:rsid w:val="599F7D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2026-10-10T01:38:00Z</dcterms:created>
  <dcterms:modified xsi:type="dcterms:W3CDTF">2026-10-10T01:39:19Z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EDEC564419C4421F86EACE7CCA36F0C5_11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eyJoZGlkIjoiMGM2YzIzNzlkNTIxMmZkNmVjZmE0YjJkNTUxYmMwZWYiLCJ1c2VySWQiOiI1ODIxNTk5MDgifQ==</vt:lpwstr>
  </property>
</Properties>
</file>