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8F53B1B">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FF"/>
          <w:sz w:val="21"/>
          <w:szCs w:val="21"/>
          <w:highlight w:val="yellow"/>
        </w:rPr>
      </w:pPr>
      <w:bookmarkStart w:id="0" w:name="_GoBack"/>
      <w:bookmarkEnd w:id="0"/>
      <w:r>
        <w:rPr>
          <w:rFonts w:ascii="宋体" w:eastAsia="宋体" w:hAnsi="宋体" w:cs="宋体" w:hint="eastAsia"/>
          <w:b w:val="0"/>
          <w:bCs w:val="0"/>
          <w:color w:val="000000" w:themeColor="text1"/>
          <w:sz w:val="21"/>
          <w:szCs w:val="21"/>
          <w:highlight w:val="yellow"/>
          <w14:textFill>
            <w14:solidFill>
              <w14:schemeClr w14:val="tx1"/>
            </w14:solidFill>
          </w14:textFill>
        </w:rPr>
        <w:t>当前</w:t>
      </w:r>
      <w:r>
        <w:rPr>
          <w:rFonts w:ascii="宋体" w:eastAsia="宋体" w:hAnsi="宋体" w:cs="宋体" w:hint="eastAsia"/>
          <w:b w:val="0"/>
          <w:bCs w:val="0"/>
          <w:color w:val="000000" w:themeColor="text1"/>
          <w:sz w:val="21"/>
          <w:szCs w:val="21"/>
          <w:highlight w:val="yellow"/>
          <w:lang w:eastAsia="zh-CN"/>
          <w14:textFill>
            <w14:solidFill>
              <w14:schemeClr w14:val="tx1"/>
            </w14:solidFill>
          </w14:textFill>
        </w:rPr>
        <w:t>市</w:t>
      </w:r>
      <w:r>
        <w:rPr>
          <w:rFonts w:ascii="宋体" w:eastAsia="宋体" w:hAnsi="宋体" w:cs="宋体" w:hint="eastAsia"/>
          <w:b w:val="0"/>
          <w:bCs w:val="0"/>
          <w:color w:val="000000" w:themeColor="text1"/>
          <w:sz w:val="21"/>
          <w:szCs w:val="21"/>
          <w:highlight w:val="yellow"/>
          <w14:textFill>
            <w14:solidFill>
              <w14:schemeClr w14:val="tx1"/>
            </w14:solidFill>
          </w14:textFill>
        </w:rPr>
        <w:t>场角逐日趋白热化，经济格局持续演进，中小型市场主体既迎来发展良机，亦遭遇严峻考验。旧有运营模式难以应对市场瞬息万变之态势，中小微企业迫切需推动结构</w:t>
      </w:r>
      <w:r>
        <w:rPr>
          <w:rFonts w:cs="宋体" w:hint="eastAsia"/>
          <w:b w:val="0"/>
          <w:bCs w:val="0"/>
          <w:color w:val="000000" w:themeColor="text1"/>
          <w:sz w:val="21"/>
          <w:szCs w:val="21"/>
          <w:highlight w:val="yellow"/>
          <w:lang w:eastAsia="zh-CN"/>
          <w14:textFill>
            <w14:solidFill>
              <w14:schemeClr w14:val="tx1"/>
            </w14:solidFill>
          </w14:textFill>
        </w:rPr>
        <w:t>性</w:t>
      </w:r>
      <w:r>
        <w:rPr>
          <w:rFonts w:ascii="宋体" w:eastAsia="宋体" w:hAnsi="宋体" w:cs="宋体" w:hint="eastAsia"/>
          <w:b w:val="0"/>
          <w:bCs w:val="0"/>
          <w:color w:val="0000FF"/>
          <w:sz w:val="21"/>
          <w:szCs w:val="21"/>
          <w:highlight w:val="yellow"/>
        </w:rPr>
        <w:t>革新。工商管理层面的创新举措，作为组织内控升级的关键着力点，对其转型进程发挥决定性助推效能，不仅可精进资源调配、强化运作效能、拓展商业通路，更可筑牢长效发展的治理根基。</w:t>
      </w:r>
    </w:p>
    <w:p w14:paraId="335BC174">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p>
    <w:p w14:paraId="13414259">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p>
    <w:p w14:paraId="0B38377E">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sz w:val="21"/>
          <w:szCs w:val="21"/>
          <w:highlight w:val="yellow"/>
          <w14:textFill>
            <w14:solidFill>
              <w14:schemeClr w14:val="tx1"/>
            </w14:solidFill>
          </w14:textFill>
        </w:rPr>
        <w:t>（三）优化资源配置效率，保障小微企业经营稳健运行</w:t>
      </w:r>
    </w:p>
    <w:p w14:paraId="4850A79B">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left"/>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t>小微企业的日常运作仰赖人力、资金与物资等稀缺要素，其配置合理性与利用效能深刻关乎组织存续与成长态势。工商管理在此过程中发挥中枢调控功能，确保各类资源协同高效运转。以人力资源为例，可构建契合组织体量的精简管理架构，科学配置各岗人力，并辅以灵活高效的培训、评估与激励方案，从而最大化激发员工潜能。从物质与资金层面出发，应聚焦关键品类制造、区域市场深耕及轻量级迭代创新，以高效撬动资源潜能，达成最优配置与产出</w:t>
      </w:r>
      <w:r>
        <w:rPr>
          <w:rFonts w:ascii="宋体" w:eastAsia="宋体" w:hAnsi="宋体" w:cs="宋体" w:hint="eastAsia"/>
          <w:b w:val="0"/>
          <w:bCs w:val="0"/>
          <w:color w:val="000000" w:themeColor="text1"/>
          <w:kern w:val="0"/>
          <w:sz w:val="21"/>
          <w:szCs w:val="21"/>
          <w:highlight w:val="yellow"/>
          <w:vertAlign w:val="superscript"/>
          <w:lang w:val="en-US" w:eastAsia="zh-CN" w:bidi="ar"/>
          <w14:textFill>
            <w14:solidFill>
              <w14:schemeClr w14:val="tx1"/>
            </w14:solidFill>
          </w14:textFill>
        </w:rPr>
        <w:t>[2]</w:t>
      </w:r>
      <w:r>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t>。依托内外部低成本技术手段与属地化数据资源，推动轻量化创新成果高效应用，打通组织内部信息流通渠道，为管理决策及生产运作提供有力支撑，确保小微实体稳健运行。</w:t>
      </w:r>
    </w:p>
    <w:p w14:paraId="206CDDC5">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sz w:val="21"/>
          <w:szCs w:val="21"/>
          <w:highlight w:val="yellow"/>
          <w14:textFill>
            <w14:solidFill>
              <w14:schemeClr w14:val="tx1"/>
            </w14:solidFill>
          </w14:textFill>
        </w:rPr>
        <w:t>二、小微企业工商管理实践中存在的问题</w:t>
      </w:r>
    </w:p>
    <w:p w14:paraId="1C2592B9">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sz w:val="21"/>
          <w:szCs w:val="21"/>
          <w:highlight w:val="yellow"/>
          <w14:textFill>
            <w14:solidFill>
              <w14:schemeClr w14:val="tx1"/>
            </w14:solidFill>
          </w14:textFill>
        </w:rPr>
        <w:t>（一）战略规划与资源配置脱节，资源利用效率偏低</w:t>
      </w:r>
    </w:p>
    <w:p w14:paraId="3F927C5E">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left"/>
        <w:textAlignment w:val="auto"/>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pPr>
      <w:r>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t>工商管理体系欲彰显其效能，须以战略部署与资源调配的紧密协同为根基；而适配性薄弱，恰是当下小型企业治理中屡见不鲜的症结所在。一些小型企业谋划发展路径时，未能立足自身优势、关键能力及区域经济动向，一味追逐风口设定过高指标，致使规划脱离实际、难以落地。资源配置缺乏战略导向，常依管理者经验或短期业务波动而定，致使关键领域投入乏力，非重点板块却过度占用资源，形成稀缺资产闲置与紧缺并存的失衡局面。</w:t>
      </w:r>
    </w:p>
    <w:p w14:paraId="231E99FB">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sz w:val="21"/>
          <w:szCs w:val="21"/>
          <w:highlight w:val="yellow"/>
          <w14:textFill>
            <w14:solidFill>
              <w14:schemeClr w14:val="tx1"/>
            </w14:solidFill>
          </w14:textFill>
        </w:rPr>
        <w:t>（二）执行链条衔接不畅，经营流转效率受到制约</w:t>
      </w:r>
    </w:p>
    <w:p w14:paraId="5D0862E0">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left"/>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t>为使工商管理措施切实奏效，须依托贯通的实施路径；然众多小微主体囿于组织架构薄弱与人力资源匮乏，致使其从高层决断至一线落实之间常现断层与脱节。小微企业组织架构扁平，却常沿袭家族或手工作坊式管理，决策易受管理者主观影响，致使信息扭曲、传达延迟，一线人员难以精准理解执行标准，最终偏离既定目标</w:t>
      </w:r>
      <w:r>
        <w:rPr>
          <w:rFonts w:ascii="宋体" w:eastAsia="宋体" w:hAnsi="宋体" w:cs="宋体" w:hint="eastAsia"/>
          <w:b w:val="0"/>
          <w:bCs w:val="0"/>
          <w:color w:val="000000" w:themeColor="text1"/>
          <w:kern w:val="0"/>
          <w:sz w:val="21"/>
          <w:szCs w:val="21"/>
          <w:highlight w:val="yellow"/>
          <w:vertAlign w:val="superscript"/>
          <w:lang w:val="en-US" w:eastAsia="zh-CN" w:bidi="ar"/>
          <w14:textFill>
            <w14:solidFill>
              <w14:schemeClr w14:val="tx1"/>
            </w14:solidFill>
          </w14:textFill>
        </w:rPr>
        <w:t>[3]</w:t>
      </w:r>
      <w:r>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t>。企业内职员常需兼顾多重职能，各职位职责界限不清，且缺乏稳定高效的协同沟通体系，致使生产、采购、销售及财务等关键环节联动不畅，进而干扰整体运营的连贯与效率。</w:t>
      </w:r>
    </w:p>
    <w:p w14:paraId="3199A55E">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sz w:val="21"/>
          <w:szCs w:val="21"/>
          <w:highlight w:val="yellow"/>
          <w14:textFill>
            <w14:solidFill>
              <w14:schemeClr w14:val="tx1"/>
            </w14:solidFill>
          </w14:textFill>
        </w:rPr>
        <w:t>（三）数字技术融合不足，运营管理数字化水平较低</w:t>
      </w:r>
    </w:p>
    <w:p w14:paraId="63284D5C">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left"/>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t>在数字经济蓬勃发展的环境下，企业运营效能与市场应变能力深受工商管理同数字技术协同水平的影响。相较之下，小微规模主体在此领域的推进步伐明显慢于中大型同行。多数小微业主沿袭旧有管理模式，对数字技术带来的增效潜力缺乏深刻理解，因担忧资金投入与收益见效缓慢而迟疑不前，运营中仍倚重手工记账、面对面交流等落后手段，致使管理效能难以提升。数字基建推进迟缓，致使企业难以上线专业管理平台，各流程数据依赖手工录入，彼此割裂成孤立信息单元，管理者无法动态获取全流程运营实况，决策亦缺乏精准数据依据。</w:t>
      </w:r>
    </w:p>
    <w:p w14:paraId="173188AE">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sz w:val="21"/>
          <w:szCs w:val="21"/>
          <w:highlight w:val="yellow"/>
          <w14:textFill>
            <w14:solidFill>
              <w14:schemeClr w14:val="tx1"/>
            </w14:solidFill>
          </w14:textFill>
        </w:rPr>
        <w:t>（四）市场反馈机制不完善，发展决策缺乏精准支撑</w:t>
      </w:r>
    </w:p>
    <w:p w14:paraId="314FDF7B">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left"/>
        <w:textAlignment w:val="auto"/>
        <w:rPr>
          <w:rFonts w:ascii="宋体" w:eastAsia="宋体" w:hAnsi="宋体" w:cs="宋体" w:hint="eastAsia"/>
          <w:b w:val="0"/>
          <w:bCs w:val="0"/>
          <w:color w:val="000000" w:themeColor="text1"/>
          <w:sz w:val="21"/>
          <w:szCs w:val="21"/>
          <w:highlight w:val="yellow"/>
          <w14:textFill>
            <w14:solidFill>
              <w14:schemeClr w14:val="tx1"/>
            </w14:solidFill>
          </w14:textFill>
        </w:rPr>
      </w:pPr>
      <w:r>
        <w:rPr>
          <w:rFonts w:ascii="宋体" w:eastAsia="宋体" w:hAnsi="宋体" w:cs="宋体" w:hint="eastAsia"/>
          <w:b w:val="0"/>
          <w:bCs w:val="0"/>
          <w:color w:val="000000" w:themeColor="text1"/>
          <w:kern w:val="0"/>
          <w:sz w:val="21"/>
          <w:szCs w:val="21"/>
          <w:highlight w:val="yellow"/>
          <w:lang w:val="en-US" w:eastAsia="zh-CN" w:bidi="ar"/>
          <w14:textFill>
            <w14:solidFill>
              <w14:schemeClr w14:val="tx1"/>
            </w14:solidFill>
          </w14:textFill>
        </w:rPr>
        <w:t>市场动态的演变主导着小微主体战略调适的方向，但现阶段其多数反馈体系尚存显著缺陷，难以为经营抉择输送充分且有效的数据支持。囿于资源与人力短缺，小微实体常使市场探查沦为表面功夫，方法单调、样本狭窄，甚或仅凭管理者旧有认知臆断，致使对区域消费实况的洞察严重失真。信息采集途径单一，过度倚重销售端口的线下口述反馈，缺乏网络平台与产业分析报告等多维数据来源，致使所获内容既不完整，亦难保证时效性。</w:t>
      </w:r>
    </w:p>
    <w:p w14:paraId="44E5CA47"/>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B20B3"/>
    <w:rsid w:val="705B20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2026-10-02T05:08:00Z</dcterms:created>
  <dcterms:modified xsi:type="dcterms:W3CDTF">2026-10-02T05:08:44Z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0EC176E457914252B007B7E6E0A428DF_11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