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0B56BAB">
      <w:pPr>
        <w:spacing w:line="340" w:lineRule="exact"/>
        <w:jc w:val="left"/>
        <w:rPr>
          <w:rFonts w:ascii="黑体" w:eastAsia="黑体" w:hAnsi="黑体"/>
          <w:b/>
          <w:sz w:val="20"/>
        </w:rPr>
      </w:pPr>
    </w:p>
    <w:p w14:paraId="621D0CD4">
      <w:pPr>
        <w:widowControl w:val="0"/>
        <w:spacing w:after="0" w:line="340" w:lineRule="exact"/>
        <w:ind w:firstLine="0"/>
        <w:jc w:val="both"/>
      </w:pPr>
      <w:r>
        <w:rPr>
          <w:rFonts w:ascii="黑体" w:eastAsia="黑体" w:hAnsi="黑体" w:hint="eastAsia"/>
          <w:b/>
          <w:sz w:val="20"/>
        </w:rPr>
        <w:t>摘要：</w:t>
      </w:r>
      <w:r>
        <w:rPr>
          <w:rFonts w:ascii="楷体" w:eastAsia="楷体" w:hAnsi="楷体" w:hint="eastAsia"/>
          <w:color w:val="0000FF"/>
          <w:kern w:val="2"/>
          <w:sz w:val="20"/>
          <w:szCs w:val="24"/>
          <w:lang w:eastAsia="zh-CN"/>
        </w:rPr>
        <w:t>核心素养的培养已经成为目前基础教育课程改革的主要问题，在特殊教育领域中素养落地要考虑到学生身心发展的规律和认知特点。本文以特殊教育学校小学数学教学为研究对象，在对学生的数学学习特点进行分析的基础上，从直观感知、游戏活动、分层教学、小组合作、生活联结五个方面提出教学实施路径，并结合人教版小学数学典型篇目设计具体的教学案例，从学情评估、环境支持、家校协同三个方面提出保障机制。研究目的在于给特殊教育学校数学教师提供可以操作的实践参照，提高数学教学的适应性和有效性，促进学生数学核心素养和社会适应能力的协调发展。</w:t>
      </w:r>
    </w:p>
    <w:p w14:paraId="534978D4">
      <w:pPr>
        <w:adjustRightInd w:val="0"/>
        <w:spacing w:line="340" w:lineRule="exact"/>
        <w:jc w:val="left"/>
      </w:pPr>
    </w:p>
    <w:p w14:paraId="25667F19">
      <w:pPr>
        <w:adjustRightInd w:val="0"/>
        <w:spacing w:line="340" w:lineRule="exact"/>
        <w:jc w:val="left"/>
      </w:pPr>
    </w:p>
    <w:p w14:paraId="53F3A54B">
      <w:pPr>
        <w:adjustRightInd w:val="0"/>
        <w:spacing w:before="100" w:after="60" w:line="360" w:lineRule="exact"/>
        <w:jc w:val="left"/>
        <w:rPr>
          <w:rFonts w:ascii="黑体" w:eastAsia="黑体" w:hAnsi="黑体"/>
          <w:sz w:val="24"/>
        </w:rPr>
        <w:sectPr>
          <w:headerReference w:type="even" r:id="rId5"/>
          <w:headerReference w:type="default" r:id="rId6"/>
          <w:footerReference w:type="even" r:id="rId7"/>
          <w:footerReference w:type="default" r:id="rId8"/>
          <w:headerReference w:type="first" r:id="rId9"/>
          <w:footerReference w:type="first" r:id="rId10"/>
          <w:pgSz w:w="11906" w:h="16838"/>
          <w:pgMar w:top="1440" w:right="1077" w:bottom="1440" w:left="1077" w:header="851" w:footer="992" w:gutter="0"/>
          <w:pgNumType w:fmt="numberInDash"/>
          <w:cols w:num="1" w:space="425"/>
          <w:titlePg/>
          <w:docGrid w:type="lines" w:linePitch="312" w:charSpace="0"/>
        </w:sectPr>
      </w:pPr>
    </w:p>
    <w:p w14:paraId="7A4F51F0">
      <w:pPr>
        <w:adjustRightInd w:val="0"/>
        <w:spacing w:before="100" w:after="60" w:line="360" w:lineRule="exact"/>
        <w:jc w:val="left"/>
        <w:rPr>
          <w:rFonts w:ascii="宋体" w:eastAsia="宋体" w:hAnsi="宋体"/>
          <w:color w:val="0000FF"/>
          <w:kern w:val="2"/>
          <w:sz w:val="20"/>
          <w:szCs w:val="24"/>
          <w:lang w:eastAsia="zh-CN"/>
        </w:rPr>
      </w:pPr>
      <w:r>
        <w:rPr>
          <w:rFonts w:ascii="黑体" w:eastAsia="黑体" w:hAnsi="黑体"/>
          <w:sz w:val="24"/>
        </w:rPr>
        <w:t>引言：</w:t>
      </w:r>
      <w:r>
        <w:rPr>
          <w:rFonts w:ascii="宋体" w:eastAsia="宋体" w:hAnsi="宋体"/>
          <w:color w:val="0000FF"/>
          <w:kern w:val="2"/>
          <w:sz w:val="20"/>
          <w:szCs w:val="24"/>
          <w:lang w:eastAsia="zh-CN"/>
        </w:rPr>
        <w:t>目前我国特殊教育事业正处在由补偿性教育向发展性教育转变的过程中，核心素养理念的加入给特殊教育课程和教学改革带来了新的内涵。特殊教育学校学生在认知发展水平、感知觉通道、学习节奏等各方面存在较大差异，传统的整齐划一教学模式不能满足学生的多样化学习需求。数学是一门抽象性、逻辑性很强的基础学科，对于特殊教育学生来说是学习难度较大的科目，怎样在核心素养的引领下寻找出适合特殊学生特点的数学教学路径，既是提高特殊教育数学课堂质量的现实需要，也是促进学生综合能力发展的必然要求。本文以特殊教育学校小学数学教学为背景，在分析学生学习特点的基础上构建多维教学路径，结合人教版教材典型篇目给出具体的实施案例，为特殊教育数学教学的改进提供一定的参考。</w:t>
      </w:r>
    </w:p>
    <w:p w14:paraId="2F355A8C">
      <w:pPr>
        <w:widowControl w:val="0"/>
        <w:spacing w:after="0" w:line="340" w:lineRule="exact"/>
        <w:ind w:firstLine="400" w:firstLineChars="200"/>
        <w:jc w:val="both"/>
        <w:rPr>
          <w:rFonts w:ascii="宋体" w:eastAsia="宋体" w:hAnsi="宋体"/>
          <w:color w:val="0000FF"/>
          <w:kern w:val="2"/>
          <w:sz w:val="20"/>
          <w:szCs w:val="24"/>
          <w:lang w:eastAsia="zh-CN"/>
        </w:rPr>
      </w:pPr>
    </w:p>
    <w:p w14:paraId="3A7B2949">
      <w:pPr>
        <w:widowControl w:val="0"/>
        <w:spacing w:after="0" w:line="340" w:lineRule="exact"/>
        <w:ind w:firstLine="400" w:firstLineChars="200"/>
        <w:jc w:val="both"/>
        <w:rPr>
          <w:rFonts w:ascii="宋体" w:eastAsia="宋体" w:hAnsi="宋体"/>
          <w:color w:val="0000FF"/>
          <w:kern w:val="2"/>
          <w:sz w:val="20"/>
          <w:szCs w:val="24"/>
          <w:lang w:eastAsia="zh-CN"/>
        </w:rPr>
      </w:pPr>
    </w:p>
    <w:p w14:paraId="028828C3">
      <w:pPr>
        <w:widowControl w:val="0"/>
        <w:spacing w:after="0" w:line="340" w:lineRule="exact"/>
        <w:ind w:firstLine="400" w:firstLineChars="200"/>
        <w:jc w:val="both"/>
        <w:rPr>
          <w:rFonts w:ascii="宋体" w:eastAsia="宋体" w:hAnsi="宋体"/>
          <w:color w:val="0000FF"/>
          <w:kern w:val="2"/>
          <w:sz w:val="20"/>
          <w:szCs w:val="24"/>
          <w:lang w:eastAsia="zh-CN"/>
        </w:rPr>
      </w:pPr>
      <w:bookmarkStart w:id="0" w:name="_GoBack"/>
      <w:bookmarkEnd w:id="0"/>
      <w:r>
        <w:rPr>
          <w:rFonts w:ascii="宋体" w:eastAsia="宋体" w:hAnsi="宋体"/>
          <w:color w:val="0000FF"/>
          <w:kern w:val="2"/>
          <w:sz w:val="20"/>
          <w:szCs w:val="24"/>
          <w:lang w:eastAsia="zh-CN"/>
        </w:rPr>
        <w:t>特殊教育教学以差异化教育理论为根本遵循，学生身心发展的异质性决定了其数学学习过程不同于普通学校学生，这种差异主要体现在三个方面。第一，个体之间存在较大的发展差异。学生智力水平、感知通道偏好、知识基础等各方面的差异导致学生在数学认知接收途径上存在天然的差别，同一课堂内学生所能达到的数学知识上限存在较大差距，统一的教学目标和进度安排很难满足所有学生的需求。第二，知识内化速度慢。学生逻辑记忆、抽象理解等各方面存在不同程度的不足，简单的运算规则、图形概念等需要经过多次操作才能逐渐内化，课堂教学中如果推进过快，部分学生就会出现知识断层。第三，学习过程需要多种通道的支持。单一的口头讲解不能把知识完整的传递给学生，视障学生要依靠触摸教具来感知形状和数量，听障学生要依靠视觉图文和手势来理解，智力障碍学生要依靠实物演示来建立具体的表象，缺少相应的辅助工具会大大降低学生课堂参与度</w:t>
      </w:r>
      <w:r>
        <w:rPr>
          <w:rFonts w:ascii="宋体" w:eastAsia="宋体" w:hAnsi="宋体"/>
          <w:color w:val="0000FF"/>
          <w:kern w:val="2"/>
          <w:sz w:val="20"/>
          <w:szCs w:val="24"/>
          <w:vertAlign w:val="superscript"/>
          <w:lang w:eastAsia="zh-CN"/>
        </w:rPr>
        <w:t>[1]</w:t>
      </w:r>
      <w:r>
        <w:rPr>
          <w:rFonts w:ascii="宋体" w:eastAsia="宋体" w:hAnsi="宋体"/>
          <w:color w:val="0000FF"/>
          <w:kern w:val="2"/>
          <w:sz w:val="20"/>
          <w:szCs w:val="24"/>
          <w:lang w:eastAsia="zh-CN"/>
        </w:rPr>
        <w:t>。根据以上特征，特殊教育学校小学数学教学目标设定、内容呈现、方式选择都要做出相应的调整，教学的主要目的就是使每一个学生在自己的起点上获得实质性的进步。</w:t>
      </w:r>
    </w:p>
    <w:p w14:paraId="413E5D00">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二、核心素养导向下特殊教育学校小学数学教学的实施路径</w:t>
      </w:r>
    </w:p>
    <w:p w14:paraId="0A2DD6F9">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（一）借助直观感知搭建抽象概念的理解阶梯</w:t>
      </w:r>
    </w:p>
    <w:p w14:paraId="7E5E4AD3">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数学概念具有抽象性，而特殊教育学生是以具象思维为主的认知特点，教师要依靠实物教具、可视化素材、多模态呈现等手段，把符号化的数学知识变成学生可以感知的具体形象，从而降低认知负荷，搭建起从具象思维到抽象思维的过渡桥梁。教学过程中要调动学生多种感官参与，考虑不同障碍类型学生感知通道的偏好，使知识产生过程符合学生认知发展水平，使学生在操作和观察中逐步形成数感、空间观念等数学核心素养</w:t>
      </w:r>
      <w:r>
        <w:rPr>
          <w:rFonts w:ascii="宋体" w:eastAsia="宋体" w:hAnsi="宋体"/>
          <w:color w:val="0000FF"/>
          <w:kern w:val="2"/>
          <w:sz w:val="20"/>
          <w:szCs w:val="24"/>
          <w:vertAlign w:val="superscript"/>
          <w:lang w:eastAsia="zh-CN"/>
        </w:rPr>
        <w:t>[2]</w:t>
      </w:r>
      <w:r>
        <w:rPr>
          <w:rFonts w:ascii="宋体" w:eastAsia="宋体" w:hAnsi="宋体"/>
          <w:color w:val="0000FF"/>
          <w:kern w:val="2"/>
          <w:sz w:val="20"/>
          <w:szCs w:val="24"/>
          <w:lang w:eastAsia="zh-CN"/>
        </w:rPr>
        <w:t>。</w:t>
      </w:r>
    </w:p>
    <w:p w14:paraId="71A6F24A">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在教授人教版三年级上册“</w:t>
      </w:r>
      <w:r>
        <w:rPr>
          <w:rFonts w:ascii="宋体" w:eastAsia="宋体" w:hAnsi="宋体" w:hint="eastAsia"/>
          <w:color w:val="0000FF"/>
          <w:kern w:val="2"/>
          <w:sz w:val="20"/>
          <w:szCs w:val="24"/>
          <w:lang w:eastAsia="zh-CN"/>
        </w:rPr>
        <w:t>毫</w:t>
      </w:r>
      <w:r>
        <w:rPr>
          <w:rFonts w:ascii="宋体" w:eastAsia="宋体" w:hAnsi="宋体"/>
          <w:color w:val="0000FF"/>
          <w:kern w:val="2"/>
          <w:sz w:val="20"/>
          <w:szCs w:val="24"/>
          <w:lang w:eastAsia="zh-CN"/>
        </w:rPr>
        <w:t>米的认识”</w:t>
      </w:r>
      <w:r>
        <w:rPr>
          <w:rFonts w:ascii="宋体" w:eastAsia="宋体" w:hAnsi="宋体" w:hint="eastAsia"/>
          <w:color w:val="0000FF"/>
          <w:kern w:val="2"/>
          <w:sz w:val="20"/>
          <w:szCs w:val="24"/>
          <w:lang w:eastAsia="zh-CN"/>
        </w:rPr>
        <w:t>时</w:t>
      </w:r>
      <w:r>
        <w:rPr>
          <w:rFonts w:ascii="宋体" w:eastAsia="宋体" w:hAnsi="宋体"/>
          <w:color w:val="0000FF"/>
          <w:kern w:val="2"/>
          <w:sz w:val="20"/>
          <w:szCs w:val="24"/>
          <w:lang w:eastAsia="zh-CN"/>
        </w:rPr>
        <w:t>，教师可以准备标准直尺、一元硬币、身份证、硬质卡片等实物教具，先让学生用手指比对1厘米的长度，再观察直尺上1厘米区间内细小刻度，通过指尖触摸刻度线的间距来感知1毫米的实际大小。然后让学生拿出厚度大约为1毫米的身份证和银行卡，用拇指和食指轻轻捏住卡片慢慢抽出，感受两指之间缝隙的宽度，在头脑里形成1毫米的长度表象。对于视力障碍的学生可以使用带有凸起刻度的盲用直尺，用手滑动识别毫米刻度和厘米刻度的不同；对于认知发展较慢的学生可以配合放大刻度演示板，逐格标注毫米单位，配合反复的比对练习来加强认知，使学生在多感官参与的过程中理解毫米和厘米之间的十进关系，形成清晰的长度单位概念。</w:t>
      </w:r>
    </w:p>
    <w:p w14:paraId="5B27879B">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（二）依托游戏活动激发数学学习的内在动力</w:t>
      </w:r>
    </w:p>
    <w:p w14:paraId="7C8496C2">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游戏化教学符合特殊教育学生认知特点和兴趣方向，核心素养视域下的数学游戏不是单纯的娱乐活动，是知识目标和能力发展相结合的学习载体。教师根据教学内容设计出规则清楚、操作简便的课堂游戏，把数学知识融入到互动的过程中，在轻松的环境中减少学生的学习焦虑感，同时利用游戏中的合作环节来发展学生的运算能力、推理意识和社交表达能力。游戏难度的设置要具有一定的弹性，适应各个能力水平学生参与的需要，使知识的巩固过程伴随着积极的情感体验，逐步增强学生对数学学习的兴趣。</w:t>
      </w:r>
    </w:p>
    <w:p w14:paraId="29FAF66B">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在教授人教版二年级下</w:t>
      </w:r>
      <w:r>
        <w:rPr>
          <w:rFonts w:ascii="宋体" w:eastAsia="宋体" w:hAnsi="宋体" w:hint="eastAsia"/>
          <w:color w:val="0000FF"/>
          <w:kern w:val="2"/>
          <w:sz w:val="20"/>
          <w:szCs w:val="24"/>
          <w:lang w:val="en-US" w:eastAsia="zh-CN"/>
        </w:rPr>
        <w:t>册的</w:t>
      </w:r>
      <w:r>
        <w:rPr>
          <w:rFonts w:ascii="宋体" w:eastAsia="宋体" w:hAnsi="宋体" w:hint="eastAsia"/>
          <w:color w:val="0000FF"/>
          <w:kern w:val="2"/>
          <w:sz w:val="20"/>
          <w:szCs w:val="24"/>
          <w:lang w:eastAsia="zh-CN"/>
        </w:rPr>
        <w:t>有</w:t>
      </w:r>
      <w:r>
        <w:rPr>
          <w:rFonts w:ascii="宋体" w:eastAsia="宋体" w:hAnsi="宋体"/>
          <w:color w:val="0000FF"/>
          <w:kern w:val="2"/>
          <w:sz w:val="20"/>
          <w:szCs w:val="24"/>
          <w:lang w:eastAsia="zh-CN"/>
        </w:rPr>
        <w:t>余数的除法时</w:t>
      </w:r>
      <w:r>
        <w:rPr>
          <w:rFonts w:ascii="宋体" w:eastAsia="宋体" w:hAnsi="宋体" w:hint="eastAsia"/>
          <w:color w:val="0000FF"/>
          <w:kern w:val="2"/>
          <w:sz w:val="20"/>
          <w:szCs w:val="24"/>
          <w:lang w:eastAsia="zh-CN"/>
        </w:rPr>
        <w:t>，</w:t>
      </w:r>
      <w:r>
        <w:rPr>
          <w:rFonts w:ascii="宋体" w:eastAsia="宋体" w:hAnsi="宋体"/>
          <w:color w:val="0000FF"/>
          <w:kern w:val="2"/>
          <w:sz w:val="20"/>
          <w:szCs w:val="24"/>
          <w:lang w:eastAsia="zh-CN"/>
        </w:rPr>
        <w:t>教师可以设计出</w:t>
      </w:r>
      <w:r>
        <w:rPr>
          <w:rFonts w:ascii="宋体" w:eastAsia="宋体" w:hAnsi="宋体" w:hint="eastAsia"/>
          <w:color w:val="0000FF"/>
          <w:kern w:val="2"/>
          <w:sz w:val="20"/>
          <w:szCs w:val="24"/>
          <w:lang w:eastAsia="zh-CN"/>
        </w:rPr>
        <w:t>小</w:t>
      </w:r>
      <w:r>
        <w:rPr>
          <w:rFonts w:ascii="宋体" w:eastAsia="宋体" w:hAnsi="宋体"/>
          <w:color w:val="0000FF"/>
          <w:kern w:val="2"/>
          <w:sz w:val="20"/>
          <w:szCs w:val="24"/>
          <w:lang w:eastAsia="zh-CN"/>
        </w:rPr>
        <w:t>棒分一分的</w:t>
      </w:r>
      <w:r>
        <w:rPr>
          <w:rFonts w:ascii="宋体" w:eastAsia="宋体" w:hAnsi="宋体" w:hint="eastAsia"/>
          <w:color w:val="0000FF"/>
          <w:kern w:val="2"/>
          <w:sz w:val="20"/>
          <w:szCs w:val="24"/>
          <w:lang w:eastAsia="zh-CN"/>
        </w:rPr>
        <w:t>闯</w:t>
      </w:r>
      <w:r>
        <w:rPr>
          <w:rFonts w:ascii="宋体" w:eastAsia="宋体" w:hAnsi="宋体"/>
          <w:color w:val="0000FF"/>
          <w:kern w:val="2"/>
          <w:sz w:val="20"/>
          <w:szCs w:val="24"/>
          <w:lang w:eastAsia="zh-CN"/>
        </w:rPr>
        <w:t>关游戏，把学生分成不同的小组，每组发给一定数量的彩色小棒和记录单。游戏设置三个递进关卡，第一关要求学生把8根小棒分成两组，每组2根，在记录单上写出分组的结果；第二关把9根小棒分成两组，每组2根，观察剩余的小棒数量，初步感受余数的产生过程；第三关随机给出10到20之间的小棒数量和每组根数，让学生分组操作，写出对应的除法算式。游戏过程中设置阶梯式的积分奖励制度，完成一关就得到相应的贴纸，能力较弱的学生可以通过实物操作慢慢推导，能力较强的学生产生直接口算结果。听力障碍学生可以采用图文版游戏规则和手势提示的方式，保证所有的学生都能够理解游戏的过程，在动手操作的游戏里理解余数的意义，掌握有余数除法的基本表达方式。</w:t>
      </w:r>
    </w:p>
    <w:p w14:paraId="5DDE22E4">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（三）推行分层教学适配不同学生的发展节奏</w:t>
      </w:r>
    </w:p>
    <w:p w14:paraId="7E2BBDD1">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个别化教育是特殊教育的基本原则，以核心素养为导向的分层教学把知识的获得和能力的发展当作两个并重的目标，教师要根据对每一个学生认知水平、障碍特点和发展潜力的全面了解来制订分层化的学习目标和学习路径。教学内容、进度安排和练习难度要有弹性空间，尊重学生发展差异，使不同起点的学生在原有基础上得到提高，逐步形成适合自身发展的数学核心素养。个性化指导时要重视学生情感变化，及时给予积极的肯定和帮助，从而保证学生学习自信心的保持</w:t>
      </w:r>
      <w:r>
        <w:rPr>
          <w:rFonts w:ascii="宋体" w:eastAsia="宋体" w:hAnsi="宋体"/>
          <w:color w:val="0000FF"/>
          <w:kern w:val="2"/>
          <w:sz w:val="20"/>
          <w:szCs w:val="24"/>
          <w:vertAlign w:val="superscript"/>
          <w:lang w:eastAsia="zh-CN"/>
        </w:rPr>
        <w:t>[3]</w:t>
      </w:r>
      <w:r>
        <w:rPr>
          <w:rFonts w:ascii="宋体" w:eastAsia="宋体" w:hAnsi="宋体"/>
          <w:color w:val="0000FF"/>
          <w:kern w:val="2"/>
          <w:sz w:val="20"/>
          <w:szCs w:val="24"/>
          <w:lang w:eastAsia="zh-CN"/>
        </w:rPr>
        <w:t>。</w:t>
      </w:r>
    </w:p>
    <w:p w14:paraId="5B83BB8B">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在教授人教版四年级上册</w:t>
      </w:r>
      <w:r>
        <w:rPr>
          <w:rFonts w:ascii="宋体" w:eastAsia="宋体" w:hAnsi="宋体" w:hint="eastAsia"/>
          <w:color w:val="0000FF"/>
          <w:kern w:val="2"/>
          <w:sz w:val="20"/>
          <w:szCs w:val="24"/>
          <w:lang w:eastAsia="zh-CN"/>
        </w:rPr>
        <w:t>“</w:t>
      </w:r>
      <w:r>
        <w:rPr>
          <w:rFonts w:ascii="宋体" w:eastAsia="宋体" w:hAnsi="宋体"/>
          <w:color w:val="0000FF"/>
          <w:kern w:val="2"/>
          <w:sz w:val="20"/>
          <w:szCs w:val="24"/>
          <w:lang w:eastAsia="zh-CN"/>
        </w:rPr>
        <w:t>商是一位数笔算除法</w:t>
      </w:r>
      <w:r>
        <w:rPr>
          <w:rFonts w:ascii="宋体" w:eastAsia="宋体" w:hAnsi="宋体" w:hint="eastAsia"/>
          <w:color w:val="0000FF"/>
          <w:kern w:val="2"/>
          <w:sz w:val="20"/>
          <w:szCs w:val="24"/>
          <w:lang w:eastAsia="zh-CN"/>
        </w:rPr>
        <w:t>”</w:t>
      </w:r>
      <w:r>
        <w:rPr>
          <w:rFonts w:ascii="宋体" w:eastAsia="宋体" w:hAnsi="宋体"/>
          <w:color w:val="0000FF"/>
          <w:kern w:val="2"/>
          <w:sz w:val="20"/>
          <w:szCs w:val="24"/>
          <w:lang w:eastAsia="zh-CN"/>
        </w:rPr>
        <w:t>时，教师可以对不同的学生能力水平设计分层学习任务。认知能力强、运算基础好的学生可以直接给出完整的除法算式，自己去尝试笔算过程，探究出四舍五入试商的基本方法，还可以拓展除数接近整十数的调商练习；学习能力中等的学生可以配合除数为整十数的铺垫习题，利用小棒圈画的图示来理解算理，进而过渡到一般除数的笔算过程；认知发展较慢、运算基础较弱的学生，首先要回顾表内除法和有余数除法的旧知，用圈一圈、分一分的实物操作来巩固除法的意义，然后再慢慢接触简单的整十数除两位数的笔算。视力障碍学生可以使用盲文版习题和大字号笔算模板，智力障碍学生可以减少单次练习量，增加分步指导的频率，使每个学生都能按照自己的速度掌握笔算的方法。</w:t>
      </w:r>
    </w:p>
    <w:p w14:paraId="6FC54252">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（四）开展小组合作构建互助共进的学习场域</w:t>
      </w:r>
    </w:p>
    <w:p w14:paraId="6570117D">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合作学习是发展学生社会参与素养的途径之一，核心素养导向下的特殊教育数学课堂重视学生沟通能力和协作意识的培养，教师可以创建异质学习小组，使不同能力、障碍的学生在互助中完成学习任务。小组成员在优势互补的过程中加深对知识的理解，在互动交流的过程中提高表达能力、团队意识，为以后融入社会打下基础。小组任务的设计要具有层次性、协作性，保证每一个学生在小组里都能找到适合自己的位置，得到参与感和成就感，共同成长的过程中发展数学核心素养。</w:t>
      </w:r>
    </w:p>
    <w:p w14:paraId="5BFEDFE3">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在教授人教版三年级上册“</w:t>
      </w:r>
      <w:r>
        <w:rPr>
          <w:rFonts w:ascii="宋体" w:eastAsia="宋体" w:hAnsi="宋体" w:hint="eastAsia"/>
          <w:color w:val="0000FF"/>
          <w:kern w:val="2"/>
          <w:sz w:val="20"/>
          <w:szCs w:val="24"/>
          <w:lang w:eastAsia="zh-CN"/>
        </w:rPr>
        <w:t>认识</w:t>
      </w:r>
      <w:r>
        <w:rPr>
          <w:rFonts w:ascii="宋体" w:eastAsia="宋体" w:hAnsi="宋体"/>
          <w:color w:val="0000FF"/>
          <w:kern w:val="2"/>
          <w:sz w:val="20"/>
          <w:szCs w:val="24"/>
          <w:lang w:eastAsia="zh-CN"/>
        </w:rPr>
        <w:t>几分之一”的</w:t>
      </w:r>
      <w:r>
        <w:rPr>
          <w:rFonts w:ascii="宋体" w:eastAsia="宋体" w:hAnsi="宋体" w:hint="eastAsia"/>
          <w:color w:val="0000FF"/>
          <w:kern w:val="2"/>
          <w:sz w:val="20"/>
          <w:szCs w:val="24"/>
          <w:lang w:eastAsia="zh-CN"/>
        </w:rPr>
        <w:t>时</w:t>
      </w:r>
      <w:r>
        <w:rPr>
          <w:rFonts w:ascii="宋体" w:eastAsia="宋体" w:hAnsi="宋体"/>
          <w:color w:val="0000FF"/>
          <w:kern w:val="2"/>
          <w:sz w:val="20"/>
          <w:szCs w:val="24"/>
          <w:lang w:eastAsia="zh-CN"/>
        </w:rPr>
        <w:t>候，教师可以组建异质学习小组，每个小组由不同能力水平和感知特点的学生组成，发放圆形、长方形纸片和彩笔等学</w:t>
      </w:r>
      <w:r>
        <w:rPr>
          <w:rFonts w:ascii="宋体" w:eastAsia="宋体" w:hAnsi="宋体" w:hint="eastAsia"/>
          <w:color w:val="0000FF"/>
          <w:kern w:val="2"/>
          <w:sz w:val="20"/>
          <w:szCs w:val="24"/>
          <w:lang w:eastAsia="zh-CN"/>
        </w:rPr>
        <w:t>具</w:t>
      </w:r>
      <w:r>
        <w:rPr>
          <w:rFonts w:ascii="宋体" w:eastAsia="宋体" w:hAnsi="宋体"/>
          <w:color w:val="0000FF"/>
          <w:kern w:val="2"/>
          <w:sz w:val="20"/>
          <w:szCs w:val="24"/>
          <w:lang w:eastAsia="zh-CN"/>
        </w:rPr>
        <w:t>，布置“折一折、涂一涂，表示出图形的</w:t>
      </w:r>
      <w:r>
        <w:rPr>
          <w:rFonts w:ascii="宋体" w:eastAsia="宋体" w:hAnsi="宋体" w:hint="eastAsia"/>
          <w:color w:val="0000FF"/>
          <w:kern w:val="2"/>
          <w:sz w:val="20"/>
          <w:szCs w:val="24"/>
          <w:lang w:eastAsia="zh-CN"/>
        </w:rPr>
        <w:t>四</w:t>
      </w:r>
      <w:r>
        <w:rPr>
          <w:rFonts w:ascii="宋体" w:eastAsia="宋体" w:hAnsi="宋体"/>
          <w:color w:val="0000FF"/>
          <w:kern w:val="2"/>
          <w:sz w:val="20"/>
          <w:szCs w:val="24"/>
          <w:lang w:eastAsia="zh-CN"/>
        </w:rPr>
        <w:t>分之一”的合作任务。小组中视觉感知能力强的学生可以讲解折纸的方法思路，动手能力强的学生可以折叠和涂色，语言表达能力强的学生可以总结分享小组的成果，视力障碍的学生可以通过触摸折痕来感受图形的均分过程。各小组完成后轮流上台展示，分享不同的折叠方式，讨论为什么折法不同但是都能用四分之一表示。教师在过程中巡视指导，引导小组内成员互相帮助，出现分歧的时候一起讨论，使学生在合作中理解分数的本质含义，培养沟通互助的能力。</w:t>
      </w:r>
    </w:p>
    <w:p w14:paraId="60662F7A">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（五）联结生活实际凸显数学知识的应用价值</w:t>
      </w:r>
    </w:p>
    <w:p w14:paraId="00770904">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数学核心素养的集中体现就是运用数学知识解决实际问题的能力，特殊教育的数学教学要紧密联系学生的日常生活经验，把抽象的数学知识还原到真实的生活场景中去，让学生在熟悉的情境中体会数学的应用价值。教师可以挖掘生活中的数学元素，构建贴近学生日常的教学情境，让学生在解决生活问题的过程中掌握数学知识和方法，发展应用意识和实践能力。教学内容选择要符合学生生活经验范围，使数学学习为学生的生活适应能力提高服务，符合特殊教育学生长期发展需要</w:t>
      </w:r>
      <w:r>
        <w:rPr>
          <w:rFonts w:ascii="宋体" w:eastAsia="宋体" w:hAnsi="宋体"/>
          <w:color w:val="0000FF"/>
          <w:kern w:val="2"/>
          <w:sz w:val="20"/>
          <w:szCs w:val="24"/>
          <w:vertAlign w:val="superscript"/>
          <w:lang w:eastAsia="zh-CN"/>
        </w:rPr>
        <w:t>[4]</w:t>
      </w:r>
      <w:r>
        <w:rPr>
          <w:rFonts w:ascii="宋体" w:eastAsia="宋体" w:hAnsi="宋体"/>
          <w:color w:val="0000FF"/>
          <w:kern w:val="2"/>
          <w:sz w:val="20"/>
          <w:szCs w:val="24"/>
          <w:lang w:eastAsia="zh-CN"/>
        </w:rPr>
        <w:t>。</w:t>
      </w:r>
    </w:p>
    <w:p w14:paraId="623154D1">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在教授人教版三年级上册的</w:t>
      </w:r>
      <w:r>
        <w:rPr>
          <w:rFonts w:ascii="宋体" w:eastAsia="宋体" w:hAnsi="宋体" w:hint="eastAsia"/>
          <w:color w:val="0000FF"/>
          <w:kern w:val="2"/>
          <w:sz w:val="20"/>
          <w:szCs w:val="24"/>
          <w:lang w:eastAsia="zh-CN"/>
        </w:rPr>
        <w:t>口算</w:t>
      </w:r>
      <w:r>
        <w:rPr>
          <w:rFonts w:ascii="宋体" w:eastAsia="宋体" w:hAnsi="宋体"/>
          <w:color w:val="0000FF"/>
          <w:kern w:val="2"/>
          <w:sz w:val="20"/>
          <w:szCs w:val="24"/>
          <w:lang w:eastAsia="zh-CN"/>
        </w:rPr>
        <w:t>乘法时，</w:t>
      </w:r>
      <w:r>
        <w:rPr>
          <w:rFonts w:ascii="宋体" w:eastAsia="宋体" w:hAnsi="宋体" w:hint="eastAsia"/>
          <w:color w:val="0000FF"/>
          <w:kern w:val="2"/>
          <w:sz w:val="20"/>
          <w:szCs w:val="24"/>
          <w:lang w:eastAsia="zh-CN"/>
        </w:rPr>
        <w:t>教</w:t>
      </w:r>
      <w:r>
        <w:rPr>
          <w:rFonts w:ascii="宋体" w:eastAsia="宋体" w:hAnsi="宋体"/>
          <w:color w:val="0000FF"/>
          <w:kern w:val="2"/>
          <w:sz w:val="20"/>
          <w:szCs w:val="24"/>
          <w:lang w:eastAsia="zh-CN"/>
        </w:rPr>
        <w:t>师可以创建校园便利店的生活情境，在教室里摆上文具、零食等模拟的商品，并且标上价格，比如每本笔记本3元，每盒彩笔20元，每个笔袋10元。让学生轮流扮演顾客和收银员，模拟出日常购物的场景，提出“购</w:t>
      </w:r>
      <w:r>
        <w:rPr>
          <w:rFonts w:ascii="宋体" w:eastAsia="宋体" w:hAnsi="宋体" w:hint="eastAsia"/>
          <w:color w:val="0000FF"/>
          <w:kern w:val="2"/>
          <w:sz w:val="20"/>
          <w:szCs w:val="24"/>
          <w:lang w:eastAsia="zh-CN"/>
        </w:rPr>
        <w:t>买</w:t>
      </w:r>
      <w:r>
        <w:rPr>
          <w:rFonts w:ascii="宋体" w:eastAsia="宋体" w:hAnsi="宋体"/>
          <w:color w:val="0000FF"/>
          <w:kern w:val="2"/>
          <w:sz w:val="20"/>
          <w:szCs w:val="24"/>
          <w:lang w:eastAsia="zh-CN"/>
        </w:rPr>
        <w:t>3盒彩笔需要花多少钱”、“</w:t>
      </w:r>
      <w:r>
        <w:rPr>
          <w:rFonts w:ascii="宋体" w:eastAsia="宋体" w:hAnsi="宋体" w:hint="eastAsia"/>
          <w:color w:val="0000FF"/>
          <w:kern w:val="2"/>
          <w:sz w:val="20"/>
          <w:szCs w:val="24"/>
          <w:lang w:eastAsia="zh-CN"/>
        </w:rPr>
        <w:t>买8</w:t>
      </w:r>
      <w:r>
        <w:rPr>
          <w:rFonts w:ascii="宋体" w:eastAsia="宋体" w:hAnsi="宋体"/>
          <w:color w:val="0000FF"/>
          <w:kern w:val="2"/>
          <w:sz w:val="20"/>
          <w:szCs w:val="24"/>
          <w:lang w:eastAsia="zh-CN"/>
        </w:rPr>
        <w:t>本笔记本带20元够不够”等</w:t>
      </w:r>
      <w:r>
        <w:rPr>
          <w:rFonts w:ascii="宋体" w:eastAsia="宋体" w:hAnsi="宋体" w:hint="eastAsia"/>
          <w:color w:val="0000FF"/>
          <w:kern w:val="2"/>
          <w:sz w:val="20"/>
          <w:szCs w:val="24"/>
          <w:lang w:eastAsia="zh-CN"/>
        </w:rPr>
        <w:t>真</w:t>
      </w:r>
      <w:r>
        <w:rPr>
          <w:rFonts w:ascii="宋体" w:eastAsia="宋体" w:hAnsi="宋体"/>
          <w:color w:val="0000FF"/>
          <w:kern w:val="2"/>
          <w:sz w:val="20"/>
          <w:szCs w:val="24"/>
          <w:lang w:eastAsia="zh-CN"/>
        </w:rPr>
        <w:t>实的问题，让学生用口算乘法来计算总价、判断金额是否足够。教师可以结合学生的生活经验来拓展情境，比如计算上学一周的交通费、购买班级清洁用品的总费用等等，使学生体会乘法运算在生活中消费、出行等各方面的实际应用。对智力障碍的学生可以使用真实的人民币道具来辅助计算，听力障碍的学生可以使用情境图片和文字提示，让学生在熟悉的环境中学会口算乘法的方法，提高学生用数学解决实际问题的能力。</w:t>
      </w:r>
    </w:p>
    <w:p w14:paraId="0AEDD7A7">
      <w:pPr>
        <w:widowControl w:val="0"/>
        <w:spacing w:after="0" w:line="340" w:lineRule="exact"/>
        <w:ind w:firstLine="400" w:firstLineChars="200"/>
        <w:jc w:val="both"/>
        <w:rPr>
          <w:rFonts w:ascii="宋体" w:eastAsia="宋体" w:hAnsi="宋体"/>
          <w:color w:val="0000FF"/>
          <w:kern w:val="2"/>
          <w:sz w:val="20"/>
          <w:szCs w:val="24"/>
          <w:lang w:eastAsia="zh-CN"/>
        </w:rPr>
      </w:pPr>
    </w:p>
    <w:p w14:paraId="0103BCD3">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结语</w:t>
      </w:r>
    </w:p>
    <w:p w14:paraId="616AE5B6">
      <w:pPr>
        <w:widowControl w:val="0"/>
        <w:spacing w:after="0" w:line="340" w:lineRule="exact"/>
        <w:ind w:firstLine="400" w:firstLineChars="200"/>
        <w:jc w:val="both"/>
        <w:rPr>
          <w:rFonts w:ascii="宋体" w:eastAsia="宋体" w:hAnsi="宋体"/>
          <w:color w:val="0000FF"/>
          <w:kern w:val="2"/>
          <w:sz w:val="20"/>
          <w:szCs w:val="24"/>
          <w:lang w:eastAsia="zh-CN"/>
        </w:rPr>
      </w:pPr>
      <w:r>
        <w:rPr>
          <w:rFonts w:ascii="宋体" w:eastAsia="宋体" w:hAnsi="宋体"/>
          <w:color w:val="0000FF"/>
          <w:kern w:val="2"/>
          <w:sz w:val="20"/>
          <w:szCs w:val="24"/>
          <w:lang w:eastAsia="zh-CN"/>
        </w:rPr>
        <w:t>核心素养导向下的特殊教育学校小学数学教学是一项既具有专业性又具有人文性的任务，教师要从学生身心特点和发展需求出发，灵活地使用各种教学方法来构建适合不同障碍类型学生学习的途径。未来特殊教育数学教学可以利用信息技术手段开发出适合学生的教学资源，加强个别化教育的实践研究，不断丰富教学方法和支援体系，使数学学习真正为学生终身发展服务，帮助特殊教育学生更好地融入社会生活。</w:t>
      </w:r>
    </w:p>
    <w:p w14:paraId="50A798E5">
      <w:pPr>
        <w:adjustRightInd w:val="0"/>
        <w:spacing w:before="312" w:beforeLines="100" w:line="360" w:lineRule="exact"/>
        <w:jc w:val="center"/>
        <w:rPr>
          <w:rFonts w:ascii="黑体" w:eastAsia="黑体" w:hAnsi="黑体"/>
        </w:rPr>
        <w:sectPr>
          <w:type w:val="continuous"/>
          <w:pgSz w:w="11906" w:h="16838"/>
          <w:pgMar w:top="1440" w:right="1077" w:bottom="1440" w:left="1077" w:header="851" w:footer="992" w:gutter="0"/>
          <w:pgNumType w:fmt="numberInDash"/>
          <w:cols w:num="2" w:space="420"/>
          <w:docGrid w:type="lines" w:linePitch="312" w:charSpace="0"/>
        </w:sectPr>
      </w:pPr>
    </w:p>
    <w:p w14:paraId="2FDF4FBB">
      <w:pPr>
        <w:spacing w:line="340" w:lineRule="exact"/>
        <w:rPr>
          <w:color w:val="FF0000"/>
        </w:rPr>
      </w:pPr>
    </w:p>
    <w:sectPr>
      <w:type w:val="continuous"/>
      <w:pgSz w:w="11906" w:h="16838"/>
      <w:pgMar w:top="1440" w:right="1077" w:bottom="1440" w:left="1077" w:header="851" w:footer="992" w:gutter="0"/>
      <w:pgNumType w:fmt="numberInDash"/>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9980FF2">
    <w:pPr>
      <w:spacing w:line="240" w:lineRule="exact"/>
      <w:jc w:val="left"/>
      <w:rPr>
        <w:rFonts w:ascii="Calibri" w:hAnsi="Calibri" w:cs="Calibr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64F8E400">
    <w:pPr>
      <w:spacing w:line="240" w:lineRule="exact"/>
      <w:jc w:val="right"/>
      <w:rPr>
        <w:rFonts w:ascii="Calibri" w:hAnsi="Calibri" w:cs="Calibr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AE98A29">
    <w:pPr>
      <w:snapToGrid w:val="0"/>
      <w:spacing w:line="240" w:lineRule="exact"/>
      <w:jc w:val="left"/>
      <w:rPr>
        <w:rFonts w:ascii="楷体" w:eastAsia="楷体" w:hAnsi="楷体" w:cs="Calibri"/>
        <w:sz w:val="18"/>
        <w:szCs w:val="18"/>
      </w:rPr>
    </w:pPr>
  </w:p>
  <w:p w14:paraId="16C30C8F">
    <w:pPr>
      <w:snapToGrid w:val="0"/>
      <w:spacing w:line="240" w:lineRule="exact"/>
      <w:jc w:val="left"/>
      <w:rPr>
        <w:rFonts w:ascii="楷体" w:eastAsia="楷体" w:hAnsi="楷体" w:cs="Calibri" w:hint="eastAsia"/>
        <w:sz w:val="18"/>
        <w:szCs w:val="18"/>
      </w:rPr>
    </w:pPr>
    <w:r>
      <w:rPr>
        <w:rFonts w:ascii="楷体" w:eastAsia="楷体" w:hAnsi="楷体" w:cs="Calibri" w:hint="eastAsia"/>
        <w:sz w:val="18"/>
        <w:szCs w:val="18"/>
      </w:rPr>
      <w:t>作者简介：游贯萍（1999—），女，汉族，江西吉安人，本科学历，研究方向为小学数学。</w:t>
    </w:r>
  </w:p>
  <w:p w14:paraId="2CEF3A06">
    <w:pPr>
      <w:snapToGrid w:val="0"/>
      <w:spacing w:line="240" w:lineRule="exact"/>
      <w:jc w:val="left"/>
      <w:rPr>
        <w:rFonts w:ascii="楷体" w:eastAsia="楷体" w:hAnsi="楷体" w:cs="Calibri"/>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36DCB94">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中国科技经济新闻数据库 教育</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6B2FCEC">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中国科技经济新闻数据库 教育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2062DA4">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中国科技经济新闻数据库 教育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embedSystemFonts/>
  <w:bordersDoNotSurroundHeader/>
  <w:bordersDoNotSurroundFooter/>
  <w:revisionView w:comments="1" w:formatting="1" w:inkAnnotations="1" w:insDel="1" w:markup="0"/>
  <w:defaultTabStop w:val="420"/>
  <w:evenAndOddHeaders/>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FA1"/>
    <w:rsid w:val="00AF52C3"/>
    <w:rsid w:val="00C356EF"/>
    <w:rsid w:val="00D64FA1"/>
    <w:rsid w:val="00F64AF8"/>
    <w:rsid w:val="0B252F94"/>
    <w:rsid w:val="0F621939"/>
    <w:rsid w:val="17171557"/>
    <w:rsid w:val="1AFD5D3D"/>
    <w:rsid w:val="1BA82FED"/>
    <w:rsid w:val="1DED3012"/>
    <w:rsid w:val="20166850"/>
    <w:rsid w:val="20DA3D68"/>
    <w:rsid w:val="258C3DF2"/>
    <w:rsid w:val="2F146650"/>
    <w:rsid w:val="3BBD1E1E"/>
    <w:rsid w:val="3E126451"/>
    <w:rsid w:val="3E7C7D6E"/>
    <w:rsid w:val="3F00274D"/>
    <w:rsid w:val="420035D3"/>
    <w:rsid w:val="470923BB"/>
    <w:rsid w:val="4A510301"/>
    <w:rsid w:val="4CF65190"/>
    <w:rsid w:val="4F8922EB"/>
    <w:rsid w:val="509176A9"/>
    <w:rsid w:val="51984A67"/>
    <w:rsid w:val="52A01E26"/>
    <w:rsid w:val="52FB3255"/>
    <w:rsid w:val="5AF377AD"/>
    <w:rsid w:val="5F1C6CD8"/>
    <w:rsid w:val="657247A0"/>
    <w:rsid w:val="6A465836"/>
    <w:rsid w:val="71C21BD1"/>
    <w:rsid w:val="79314B1E"/>
    <w:rsid w:val="7B694B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spacing w:beforeAutospacing="1" w:afterAutospacing="1"/>
      <w:jc w:val="left"/>
      <w:outlineLvl w:val="1"/>
    </w:pPr>
    <w:rPr>
      <w:rFonts w:ascii="宋体" w:eastAsia="宋体" w:hAnsi="宋体" w:cs="Times New Roman" w:hint="eastAsia"/>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宋体" w:eastAsia="宋体" w:hAnsi="宋体" w:cs="Times New Roman" w:hint="eastAsia"/>
      <w:bCs/>
      <w:kern w:val="0"/>
      <w:sz w:val="27"/>
      <w:szCs w:val="27"/>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Header">
    <w:name w:val="header"/>
    <w:basedOn w:val="Normal"/>
    <w:link w:val="a"/>
    <w:qFormat/>
    <w:pPr>
      <w:pBdr>
        <w:bottom w:val="single" w:sz="6" w:space="1" w:color="auto"/>
      </w:pBdr>
      <w:tabs>
        <w:tab w:val="center" w:pos="4153"/>
        <w:tab w:val="right" w:pos="8306"/>
      </w:tabs>
      <w:snapToGrid w:val="0"/>
      <w:jc w:val="center"/>
    </w:pPr>
    <w:rPr>
      <w:sz w:val="18"/>
      <w:szCs w:val="18"/>
    </w:rPr>
  </w:style>
  <w:style w:type="character" w:styleId="Strong">
    <w:name w:val="Strong"/>
    <w:basedOn w:val="DefaultParagraphFont"/>
    <w:qFormat/>
  </w:style>
  <w:style w:type="character" w:customStyle="1" w:styleId="a">
    <w:name w:val="页眉 字符"/>
    <w:basedOn w:val="DefaultParagraphFont"/>
    <w:link w:val="Header"/>
    <w:qFormat/>
    <w:rPr>
      <w:rFonts w:asciiTheme="minorHAnsi" w:eastAsiaTheme="minorEastAsia" w:hAnsiTheme="minorHAnsi" w:cstheme="minorBidi"/>
      <w:kern w:val="2"/>
      <w:sz w:val="18"/>
      <w:szCs w:val="18"/>
    </w:rPr>
  </w:style>
  <w:style w:type="character" w:customStyle="1" w:styleId="a0">
    <w:name w:val="页脚 字符"/>
    <w:basedOn w:val="DefaultParagraphFont"/>
    <w:qFormat/>
    <w:rPr>
      <w:rFonts w:asciiTheme="minorHAnsi" w:eastAsiaTheme="minorEastAsia" w:hAnsiTheme="minorHAnsi" w:cstheme="minorBidi"/>
      <w:kern w:val="2"/>
      <w:sz w:val="18"/>
      <w:szCs w:val="18"/>
    </w:rPr>
  </w:style>
  <w:style w:type="character" w:customStyle="1" w:styleId="1">
    <w:name w:val="标题 1 字符"/>
    <w:basedOn w:val="DefaultParagraphFont"/>
    <w:link w:val="Heading1"/>
    <w:qFormat/>
    <w:rPr>
      <w:rFonts w:asciiTheme="minorHAnsi" w:eastAsiaTheme="minorEastAsia" w:hAnsiTheme="minorHAnsi" w:cstheme="minorBidi"/>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02ae4770-b1e8-47b0-86fb-ed74bdcb6ad8</errorID>
      <errorWord>差距悬殊</errorWord>
      <group>L1_Grammar</group>
      <groupName>语法问题</groupName>
      <ability>L2_Grammar</ability>
      <abilityName>语法错误</abilityName>
      <candidateList>
        <item>悬殊</item>
      </candidateList>
      <explain>该表达中的“差距悬殊”存在语义重复。【词汇解析】悬殊：指两方实力或经济差距大，形容差别之大。包含了“差距”的意思。</explain>
      <paraID> 28828C3</paraID>
      <start>72</start>
      <end>76</end>
      <status>unmodified</status>
      <modifiedWord/>
      <trackRevisions>false</trackRevisions>
    </reviewItem>
    <reviewItem>
      <errorID>31030b4e-4fe3-4aa0-8f03-1462fcd6d7f9</errorID>
      <errorWord>获得</errorWord>
      <group>L1_Grammar</group>
      <groupName>语法问题</groupName>
      <ability>L2_Grammar</ability>
      <abilityName>语法错误</abilityName>
      <candidateList>
        <item>取得</item>
      </candidateList>
      <explain>“获得～进步”搭配不当，建议修改为“取得～进步”。</explain>
      <paraID> 28828C3</paraID>
      <start>455</start>
      <end>457</end>
      <status>unmodified</status>
      <modifiedWord/>
      <trackRevisions>false</trackRevisions>
    </reviewItem>
    <reviewItem>
      <errorID>ebd73a93-4e1f-4307-ab0a-bb61e3f0288b</errorID>
      <errorWord>"</errorWord>
      <group>L1_Format</group>
      <groupName>格式问题</groupName>
      <ability>L2_HalfPunc_CN</ability>
      <abilityName>全半角问题</abilityName>
      <candidateList>
        <item>“</item>
      </candidateList>
      <explain>文本全半角错误。</explain>
      <paraID>71A6F24A</paraID>
      <start>11</start>
      <end>12</end>
      <status>modified</status>
      <modifiedWord>“</modifiedWord>
      <trackRevisions>false</trackRevisions>
    </reviewItem>
    <reviewItem>
      <errorID>caa6e922-6655-4267-82fc-05f21c5921bc</errorID>
      <errorWord>"</errorWord>
      <group>L1_Format</group>
      <groupName>格式问题</groupName>
      <ability>L2_HalfPunc_CN</ability>
      <abilityName>全半角问题</abilityName>
      <candidateList>
        <item>”</item>
      </candidateList>
      <explain>文本全半角错误。</explain>
      <paraID>71A6F24A</paraID>
      <start>17</start>
      <end>18</end>
      <status>modified</status>
      <modifiedWord>”</modifiedWord>
      <trackRevisions>false</trackRevisions>
    </reviewItem>
    <reviewItem>
      <errorID>2332562c-226d-42a5-b304-2df2330c593d</errorID>
      <errorWord>"</errorWord>
      <group>L1_Format</group>
      <groupName>格式问题</groupName>
      <ability>L2_HalfPunc_CN</ability>
      <abilityName>全半角问题</abilityName>
      <candidateList>
        <item>“</item>
      </candidateList>
      <explain>文本全半角错误。</explain>
      <paraID>29FAF66B</paraID>
      <start>9</start>
      <end>10</end>
      <status>modified</status>
      <modifiedWord>“</modifiedWord>
      <trackRevisions>false</trackRevisions>
    </reviewItem>
    <reviewItem>
      <errorID>3d133a09-8235-4f7f-9bbe-a911437fd737</errorID>
      <errorWord>"</errorWord>
      <group>L1_Format</group>
      <groupName>格式问题</groupName>
      <ability>L2_HalfPunc_CN</ability>
      <abilityName>全半角问题</abilityName>
      <candidateList>
        <item>”</item>
      </candidateList>
      <explain>文本全半角错误。</explain>
      <paraID>29FAF66B</paraID>
      <start>16</start>
      <end>17</end>
      <status>modified</status>
      <modifiedWord>”</modifiedWord>
      <trackRevisions>false</trackRevisions>
    </reviewItem>
    <reviewItem>
      <errorID>1575e048-ed7a-47d8-af84-a8fce6d6ff74</errorID>
      <errorWord>"</errorWord>
      <group>L1_Format</group>
      <groupName>格式问题</groupName>
      <ability>L2_HalfPunc_CN</ability>
      <abilityName>全半角问题</abilityName>
      <candidateList>
        <item>“</item>
      </candidateList>
      <explain>文本全半角错误。</explain>
      <paraID>29FAF66B</paraID>
      <start>24</start>
      <end>25</end>
      <status>modified</status>
      <modifiedWord>“</modifiedWord>
      <trackRevisions>false</trackRevisions>
    </reviewItem>
    <reviewItem>
      <errorID>629a3681-54bf-4617-9f2d-c49c77464671</errorID>
      <errorWord>"</errorWord>
      <group>L1_Format</group>
      <groupName>格式问题</groupName>
      <ability>L2_HalfPunc_CN</ability>
      <abilityName>全半角问题</abilityName>
      <candidateList>
        <item>”</item>
      </candidateList>
      <explain>文本全半角错误。</explain>
      <paraID>29FAF66B</paraID>
      <start>30</start>
      <end>31</end>
      <status>modified</status>
      <modifiedWord>”</modifiedWord>
      <trackRevisions>false</trackRevisions>
    </reviewItem>
    <reviewItem>
      <errorID>f9e41c01-6c96-430e-a75c-11389e122c1f</errorID>
      <errorWord>"</errorWord>
      <group>L1_Format</group>
      <groupName>格式问题</groupName>
      <ability>L2_HalfPunc_CN</ability>
      <abilityName>全半角问题</abilityName>
      <candidateList>
        <item>“</item>
      </candidateList>
      <explain>文本全半角错误。</explain>
      <paraID>5B83BB8B</paraID>
      <start>11</start>
      <end>12</end>
      <status>modified</status>
      <modifiedWord>“</modifiedWord>
      <trackRevisions>false</trackRevisions>
    </reviewItem>
    <reviewItem>
      <errorID>67bfe437-38d5-4e69-8b21-3e7413b6559f</errorID>
      <errorWord>"</errorWord>
      <group>L1_Format</group>
      <groupName>格式问题</groupName>
      <ability>L2_HalfPunc_CN</ability>
      <abilityName>全半角问题</abilityName>
      <candidateList>
        <item>”</item>
      </candidateList>
      <explain>文本全半角错误。</explain>
      <paraID>5B83BB8B</paraID>
      <start>21</start>
      <end>22</end>
      <status>modified</status>
      <modifiedWord>”</modifiedWord>
      <trackRevisions>false</trackRevisions>
    </reviewItem>
    <reviewItem>
      <errorID>1eedbeb9-6c7e-418c-81e9-c5c6cb97f4fc</errorID>
      <errorWord>"</errorWord>
      <group>L1_Format</group>
      <groupName>格式问题</groupName>
      <ability>L2_HalfPunc_CN</ability>
      <abilityName>全半角问题</abilityName>
      <candidateList>
        <item>“</item>
      </candidateList>
      <explain>文本全半角错误。</explain>
      <paraID>5BFEDFE3</paraID>
      <start>11</start>
      <end>12</end>
      <status>modified</status>
      <modifiedWord>“</modifiedWord>
      <trackRevisions>false</trackRevisions>
    </reviewItem>
    <reviewItem>
      <errorID>8991bf90-817f-4ca1-89ee-c97671b3294b</errorID>
      <errorWord>"</errorWord>
      <group>L1_Format</group>
      <groupName>格式问题</groupName>
      <ability>L2_HalfPunc_CN</ability>
      <abilityName>全半角问题</abilityName>
      <candidateList>
        <item>”</item>
      </candidateList>
      <explain>文本全半角错误。</explain>
      <paraID>5BFEDFE3</paraID>
      <start>18</start>
      <end>19</end>
      <status>modified</status>
      <modifiedWord>”</modifiedWord>
      <trackRevisions>false</trackRevisions>
    </reviewItem>
    <reviewItem>
      <errorID>ba489e57-e239-4de1-a922-448425dec99e</errorID>
      <errorWord>"</errorWord>
      <group>L1_Format</group>
      <groupName>格式问题</groupName>
      <ability>L2_HalfPunc_CN</ability>
      <abilityName>全半角问题</abilityName>
      <candidateList>
        <item>“</item>
      </candidateList>
      <explain>文本全半角错误。</explain>
      <paraID>5BFEDFE3</paraID>
      <start>71</start>
      <end>72</end>
      <status>modified</status>
      <modifiedWord>“</modifiedWord>
      <trackRevisions>false</trackRevisions>
    </reviewItem>
    <reviewItem>
      <errorID>d539e6ad-640d-4f21-bb06-4ee9551a9393</errorID>
      <errorWord>"</errorWord>
      <group>L1_Format</group>
      <groupName>格式问题</groupName>
      <ability>L2_HalfPunc_CN</ability>
      <abilityName>全半角问题</abilityName>
      <candidateList>
        <item>”</item>
      </candidateList>
      <explain>文本全半角错误。</explain>
      <paraID>5BFEDFE3</paraID>
      <start>90</start>
      <end>91</end>
      <status>modified</status>
      <modifiedWord>”</modifiedWord>
      <trackRevisions>false</trackRevisions>
    </reviewItem>
    <reviewItem>
      <errorID>868b54d2-5a57-4b1d-ab77-ab562056dc92</errorID>
      <errorWord>"</errorWord>
      <group>L1_Format</group>
      <groupName>格式问题</groupName>
      <ability>L2_HalfPunc_CN</ability>
      <abilityName>全半角问题</abilityName>
      <candidateList>
        <item>“</item>
      </candidateList>
      <explain>文本全半角错误。</explain>
      <paraID>623154D1</paraID>
      <start>11</start>
      <end>12</end>
      <status>modified</status>
      <modifiedWord>“</modifiedWord>
      <trackRevisions>false</trackRevisions>
    </reviewItem>
    <reviewItem>
      <errorID>61b8160a-74f3-499d-9b06-d41528bc8774</errorID>
      <errorWord>"</errorWord>
      <group>L1_Format</group>
      <groupName>格式问题</groupName>
      <ability>L2_HalfPunc_CN</ability>
      <abilityName>全半角问题</abilityName>
      <candidateList>
        <item>”</item>
      </candidateList>
      <explain>文本全半角错误。</explain>
      <paraID>623154D1</paraID>
      <start>16</start>
      <end>17</end>
      <status>modified</status>
      <modifiedWord>”</modifiedWord>
      <trackRevisions>false</trackRevisions>
    </reviewItem>
    <reviewItem>
      <errorID>f487a886-0f1c-480c-be69-bb6ad9dcdc6c</errorID>
      <errorWord>"</errorWord>
      <group>L1_Format</group>
      <groupName>格式问题</groupName>
      <ability>L2_HalfPunc_CN</ability>
      <abilityName>全半角问题</abilityName>
      <candidateList>
        <item>“</item>
      </candidateList>
      <explain>文本全半角错误。</explain>
      <paraID>623154D1</paraID>
      <start>111</start>
      <end>112</end>
      <status>modified</status>
      <modifiedWord>“</modifiedWord>
      <trackRevisions>false</trackRevisions>
    </reviewItem>
    <reviewItem>
      <errorID>a24c6ba6-748d-44f9-9107-7f3948f68518</errorID>
      <errorWord>"</errorWord>
      <group>L1_Format</group>
      <groupName>格式问题</groupName>
      <ability>L2_HalfPunc_CN</ability>
      <abilityName>全半角问题</abilityName>
      <candidateList>
        <item>”</item>
      </candidateList>
      <explain>文本全半角错误。</explain>
      <paraID>623154D1</paraID>
      <start>125</start>
      <end>126</end>
      <status>modified</status>
      <modifiedWord>”</modifiedWord>
      <trackRevisions>false</trackRevisions>
    </reviewItem>
    <reviewItem>
      <errorID>70461bb7-bcf5-4fd3-8f7d-0bab4ae022bd</errorID>
      <errorWord>"</errorWord>
      <group>L1_Format</group>
      <groupName>格式问题</groupName>
      <ability>L2_HalfPunc_CN</ability>
      <abilityName>全半角问题</abilityName>
      <candidateList>
        <item>“</item>
      </candidateList>
      <explain>文本全半角错误。</explain>
      <paraID>623154D1</paraID>
      <start>126</start>
      <end>127</end>
      <status>modified</status>
      <modifiedWord>“</modifiedWord>
      <trackRevisions>false</trackRevisions>
    </reviewItem>
    <reviewItem>
      <errorID>31b1e98a-0594-457e-b175-d3ee455f06e1</errorID>
      <errorWord>"</errorWord>
      <group>L1_Format</group>
      <groupName>格式问题</groupName>
      <ability>L2_HalfPunc_CN</ability>
      <abilityName>全半角问题</abilityName>
      <candidateList>
        <item>”</item>
      </candidateList>
      <explain>文本全半角错误。</explain>
      <paraID>623154D1</paraID>
      <start>140</start>
      <end>141</end>
      <status>modified</status>
      <modifiedWord>”</modifiedWord>
      <trackRevisions>false</trackRevisions>
    </reviewItem>
    <reviewItem>
      <errorID>4cb5bf28-b6a4-44cc-8511-ac18277d3a31</errorID>
      <errorWord>噪音</errorWord>
      <group>L1_Word</group>
      <groupName>字词问题</groupName>
      <ability>L2_Alias</ability>
      <abilityName>也作/曾用词</abilityName>
      <candidateList>
        <item>噪声</item>
      </candidateList>
      <explain>词汇[噪音]为不规范表述或旧称，其规范书面表述为[噪声]。</explain>
      <paraID>726E61B8</paraID>
      <start>134</start>
      <end>136</end>
      <status>unmodified</status>
      <modifiedWord/>
      <trackRevisions>false</trackRevisions>
    </reviewItem>
  </reviewItems>
  <config/>
</contractReview>
</file>

<file path=customXml/itemProps1.xml><?xml version="1.0" encoding="utf-8"?>
<ds:datastoreItem xmlns:ds="http://schemas.openxmlformats.org/officeDocument/2006/customXml" ds:itemID="{8d8638b4-1b92-49fd-bb00-5c0467984b2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5087</Words>
  <Characters>5224</Characters>
  <Application>Microsoft Office Word</Application>
  <DocSecurity>0</DocSecurity>
  <Lines>35</Lines>
  <Paragraphs>9</Paragraphs>
  <ScaleCrop>false</ScaleCrop>
  <Company>Aliyun</Company>
  <LinksUpToDate>false</LinksUpToDate>
  <CharactersWithSpaces>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39687</dc:creator>
  <cp:lastModifiedBy>Resurgam</cp:lastModifiedBy>
  <cp:revision>2</cp:revision>
  <dcterms:created xsi:type="dcterms:W3CDTF">2026-07-09T04:55:00Z</dcterms:created>
  <dcterms:modified xsi:type="dcterms:W3CDTF">2026-09-30T06:56:31Z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1461FD1F701248D583BB17BE97EFCE15_13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