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5193CA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eastAsia="宋体" w:hAnsi="宋体" w:cs="宋体" w:hint="eastAsia"/>
          <w:b w:val="0"/>
          <w:bCs w:val="0"/>
          <w:sz w:val="21"/>
          <w:szCs w:val="21"/>
        </w:rPr>
      </w:pPr>
      <w:bookmarkStart w:id="0" w:name="_GoBack"/>
      <w:r>
        <w:rPr>
          <w:rFonts w:ascii="宋体" w:eastAsia="宋体" w:hAnsi="宋体" w:cs="宋体" w:hint="eastAsia"/>
          <w:b w:val="0"/>
          <w:bCs w:val="0"/>
          <w:sz w:val="21"/>
          <w:szCs w:val="21"/>
        </w:rPr>
        <w:t>工程企业市场开发投标竞争策略实践研究</w:t>
      </w:r>
    </w:p>
    <w:bookmarkEnd w:id="0"/>
    <w:p w14:paraId="7E4732D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b w:val="0"/>
          <w:bCs w:val="0"/>
          <w:sz w:val="21"/>
          <w:szCs w:val="21"/>
        </w:rPr>
      </w:pPr>
    </w:p>
    <w:p w14:paraId="2373612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b w:val="0"/>
          <w:bCs w:val="0"/>
          <w:sz w:val="21"/>
          <w:szCs w:val="21"/>
          <w:highlight w:val="red"/>
        </w:rPr>
      </w:pPr>
      <w:r>
        <w:rPr>
          <w:rFonts w:ascii="宋体" w:eastAsia="宋体" w:hAnsi="宋体" w:cs="宋体" w:hint="eastAsia"/>
          <w:b w:val="0"/>
          <w:bCs w:val="0"/>
          <w:sz w:val="21"/>
          <w:szCs w:val="21"/>
          <w:highlight w:val="red"/>
        </w:rPr>
        <w:t>摘要</w:t>
      </w:r>
      <w:r>
        <w:rPr>
          <w:rFonts w:ascii="宋体" w:eastAsia="宋体" w:hAnsi="宋体" w:cs="宋体" w:hint="eastAsia"/>
          <w:b w:val="0"/>
          <w:bCs w:val="0"/>
          <w:sz w:val="21"/>
          <w:szCs w:val="21"/>
          <w:highlight w:val="red"/>
          <w:lang w:eastAsia="zh-CN"/>
        </w:rPr>
        <w:t>：</w:t>
      </w:r>
      <w:r>
        <w:rPr>
          <w:rFonts w:ascii="宋体" w:eastAsia="宋体" w:hAnsi="宋体" w:cs="宋体" w:hint="eastAsia"/>
          <w:b w:val="0"/>
          <w:bCs w:val="0"/>
          <w:sz w:val="21"/>
          <w:szCs w:val="21"/>
          <w:highlight w:val="red"/>
        </w:rPr>
        <w:t>工程投标竞争属于建筑市场资源分配的关键部分，策略水平同企业所占市场份额以及盈利范围存在直接联系。本文以某路桥施工企业市场开发和投标实践为研究对象，对目前信息获取碎片化、报价决策经验化、标书编制模板化、前后协同不足等问题进行分析，并提出信息网络织密、报价策略优化、三岗联编提质、协同链路打通等实践方法，以期为工程企业提高投标竞争力提供可行的路径参考。</w:t>
      </w:r>
    </w:p>
    <w:p w14:paraId="458BF8C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b w:val="0"/>
          <w:bCs w:val="0"/>
          <w:sz w:val="21"/>
          <w:szCs w:val="21"/>
          <w:highlight w:val="red"/>
        </w:rPr>
      </w:pPr>
      <w:r>
        <w:rPr>
          <w:rFonts w:ascii="宋体" w:eastAsia="宋体" w:hAnsi="宋体" w:cs="宋体" w:hint="eastAsia"/>
          <w:b w:val="0"/>
          <w:bCs w:val="0"/>
          <w:sz w:val="21"/>
          <w:szCs w:val="21"/>
          <w:highlight w:val="red"/>
        </w:rPr>
        <w:t>关键词：工程企业；市场开发；投标竞争；策略实践</w:t>
      </w:r>
    </w:p>
    <w:p w14:paraId="4C72845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b w:val="0"/>
          <w:bCs w:val="0"/>
          <w:sz w:val="21"/>
          <w:szCs w:val="21"/>
          <w:highlight w:val="red"/>
        </w:rPr>
      </w:pPr>
    </w:p>
    <w:p w14:paraId="21278E3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b w:val="0"/>
          <w:bCs w:val="0"/>
          <w:sz w:val="21"/>
          <w:szCs w:val="21"/>
          <w:highlight w:val="red"/>
        </w:rPr>
      </w:pPr>
      <w:r>
        <w:rPr>
          <w:rFonts w:ascii="宋体" w:eastAsia="宋体" w:hAnsi="宋体" w:cs="宋体" w:hint="eastAsia"/>
          <w:b w:val="0"/>
          <w:bCs w:val="0"/>
          <w:sz w:val="21"/>
          <w:szCs w:val="21"/>
          <w:highlight w:val="red"/>
        </w:rPr>
        <w:t>近年来</w:t>
      </w:r>
      <w:r>
        <w:rPr>
          <w:rFonts w:ascii="宋体" w:eastAsia="宋体" w:hAnsi="宋体" w:cs="宋体" w:hint="eastAsia"/>
          <w:b w:val="0"/>
          <w:bCs w:val="0"/>
          <w:sz w:val="21"/>
          <w:szCs w:val="21"/>
          <w:highlight w:val="red"/>
          <w:lang w:eastAsia="zh-CN"/>
        </w:rPr>
        <w:t>，</w:t>
      </w:r>
      <w:r>
        <w:rPr>
          <w:rFonts w:ascii="宋体" w:eastAsia="宋体" w:hAnsi="宋体" w:cs="宋体" w:hint="eastAsia"/>
          <w:b w:val="0"/>
          <w:bCs w:val="0"/>
          <w:sz w:val="21"/>
          <w:szCs w:val="21"/>
          <w:highlight w:val="red"/>
        </w:rPr>
        <w:t>随着我国建筑业的快速发展，我国建筑业进入存量博弈时代，2024年全国建筑业总产值达到32.65万亿元，同比增长3.90%，具有资质等级的建筑业企业数量超过16.8万家，行业产能过剩、竞争激烈问题越来越突出。工程企业普遍存在着订单获取难、中标利润率不断下降的双重压力，2024年建筑装饰板块上市公司平均净利润率为2.1%。在此情况下，对市场开发和投标竞争的实践策略进行系统的梳理，对于企业改善资源配置、提高核心竞争能力有实际的应用意义。</w:t>
      </w:r>
    </w:p>
    <w:p w14:paraId="0F456DC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b/>
          <w:bCs/>
          <w:sz w:val="21"/>
          <w:szCs w:val="21"/>
        </w:rPr>
      </w:pPr>
    </w:p>
    <w:p w14:paraId="0EC3D40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b/>
          <w:bCs/>
          <w:sz w:val="21"/>
          <w:szCs w:val="21"/>
        </w:rPr>
      </w:pPr>
      <w:r>
        <w:rPr>
          <w:rFonts w:ascii="宋体" w:eastAsia="宋体" w:hAnsi="宋体" w:cs="宋体" w:hint="eastAsia"/>
          <w:b/>
          <w:bCs/>
          <w:sz w:val="21"/>
          <w:szCs w:val="21"/>
        </w:rPr>
        <w:t>3工程企业市场开发投标竞争策略实践研究</w:t>
      </w:r>
    </w:p>
    <w:p w14:paraId="4583537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b/>
          <w:bCs/>
          <w:sz w:val="21"/>
          <w:szCs w:val="21"/>
          <w:highlight w:val="red"/>
        </w:rPr>
      </w:pPr>
      <w:r>
        <w:rPr>
          <w:rFonts w:ascii="宋体" w:eastAsia="宋体" w:hAnsi="宋体" w:cs="宋体" w:hint="eastAsia"/>
          <w:b/>
          <w:bCs/>
          <w:sz w:val="21"/>
          <w:szCs w:val="21"/>
          <w:highlight w:val="red"/>
        </w:rPr>
        <w:t>3.1构建三级信息网络，强化项目研判效能</w:t>
      </w:r>
    </w:p>
    <w:p w14:paraId="0DF0371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b w:val="0"/>
          <w:bCs w:val="0"/>
          <w:sz w:val="21"/>
          <w:szCs w:val="21"/>
          <w:highlight w:val="red"/>
        </w:rPr>
      </w:pPr>
      <w:r>
        <w:rPr>
          <w:rFonts w:ascii="宋体" w:eastAsia="宋体" w:hAnsi="宋体" w:cs="宋体" w:hint="eastAsia"/>
          <w:b w:val="0"/>
          <w:bCs w:val="0"/>
          <w:sz w:val="21"/>
          <w:szCs w:val="21"/>
          <w:highlight w:val="red"/>
        </w:rPr>
        <w:t>信息网络的织密程度决定着企业对市场机会的感知灵敏度，是提高投标竞争前置优势的基础工程。</w:t>
      </w:r>
    </w:p>
    <w:p w14:paraId="66A5AEC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b w:val="0"/>
          <w:bCs w:val="0"/>
          <w:sz w:val="21"/>
          <w:szCs w:val="21"/>
          <w:highlight w:val="red"/>
        </w:rPr>
      </w:pPr>
      <w:r>
        <w:rPr>
          <w:rFonts w:ascii="宋体" w:eastAsia="宋体" w:hAnsi="宋体" w:cs="宋体" w:hint="eastAsia"/>
          <w:b w:val="0"/>
          <w:bCs w:val="0"/>
          <w:sz w:val="21"/>
          <w:szCs w:val="21"/>
          <w:highlight w:val="red"/>
        </w:rPr>
        <w:t>第一是创建</w:t>
      </w:r>
      <w:r>
        <w:rPr>
          <w:rFonts w:ascii="宋体" w:eastAsia="宋体" w:hAnsi="宋体" w:cs="宋体" w:hint="eastAsia"/>
          <w:b w:val="0"/>
          <w:bCs w:val="0"/>
          <w:sz w:val="21"/>
          <w:szCs w:val="21"/>
          <w:highlight w:val="red"/>
          <w:lang w:eastAsia="zh-CN"/>
        </w:rPr>
        <w:t>起</w:t>
      </w:r>
      <w:r>
        <w:rPr>
          <w:rFonts w:ascii="宋体" w:eastAsia="宋体" w:hAnsi="宋体" w:cs="宋体" w:hint="eastAsia"/>
          <w:b w:val="0"/>
          <w:bCs w:val="0"/>
          <w:sz w:val="21"/>
          <w:szCs w:val="21"/>
          <w:highlight w:val="red"/>
        </w:rPr>
        <w:t>总部、区域、项目</w:t>
      </w:r>
      <w:r>
        <w:rPr>
          <w:rFonts w:ascii="宋体" w:eastAsia="宋体" w:hAnsi="宋体" w:cs="宋体" w:hint="eastAsia"/>
          <w:b w:val="0"/>
          <w:bCs w:val="0"/>
          <w:sz w:val="21"/>
          <w:szCs w:val="21"/>
          <w:highlight w:val="red"/>
          <w:lang w:eastAsia="zh-CN"/>
        </w:rPr>
        <w:t>三</w:t>
      </w:r>
      <w:r>
        <w:rPr>
          <w:rFonts w:ascii="宋体" w:eastAsia="宋体" w:hAnsi="宋体" w:cs="宋体" w:hint="eastAsia"/>
          <w:b w:val="0"/>
          <w:bCs w:val="0"/>
          <w:sz w:val="21"/>
          <w:szCs w:val="21"/>
          <w:highlight w:val="red"/>
        </w:rPr>
        <w:t>级信息收集体系，总部市场部抓行业政策、投资规划、大型业主战略信息搜集工作，区域分公司联系辖区内交通、住建等主管部门及重点业主，项目部针对在建项目周边展开市场信息摸排，各个层面的信息经由统一的项目动态台账加以汇总并更新，台账内包含项目名称，投资额度，招标计划，业主联系人，竞争情况等内容，由专人每周更新一次，保证信息的及时性和完备性。</w:t>
      </w:r>
    </w:p>
    <w:p w14:paraId="4621EE6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b w:val="0"/>
          <w:bCs w:val="0"/>
          <w:sz w:val="21"/>
          <w:szCs w:val="21"/>
          <w:highlight w:val="red"/>
        </w:rPr>
      </w:pPr>
      <w:r>
        <w:rPr>
          <w:rFonts w:ascii="宋体" w:eastAsia="宋体" w:hAnsi="宋体" w:cs="宋体" w:hint="eastAsia"/>
          <w:b w:val="0"/>
          <w:bCs w:val="0"/>
          <w:sz w:val="21"/>
          <w:szCs w:val="21"/>
          <w:highlight w:val="red"/>
        </w:rPr>
        <w:t>二是创建项目可行性评价和竞争态势剖析双维度判断机制，就跟踪项目从资质契合度，技术繁杂程度，盈利前景以及业主信誉等各方面展开可行性评价，对于</w:t>
      </w:r>
      <w:r>
        <w:rPr>
          <w:rFonts w:ascii="宋体" w:eastAsia="宋体" w:hAnsi="宋体" w:cs="宋体" w:hint="eastAsia"/>
          <w:b w:val="0"/>
          <w:bCs w:val="0"/>
          <w:sz w:val="21"/>
          <w:szCs w:val="21"/>
          <w:highlight w:val="red"/>
          <w:lang w:eastAsia="zh-CN"/>
        </w:rPr>
        <w:t>评分</w:t>
      </w:r>
      <w:r>
        <w:rPr>
          <w:rFonts w:ascii="宋体" w:eastAsia="宋体" w:hAnsi="宋体" w:cs="宋体" w:hint="eastAsia"/>
          <w:b w:val="0"/>
          <w:bCs w:val="0"/>
          <w:sz w:val="21"/>
          <w:szCs w:val="21"/>
          <w:highlight w:val="red"/>
        </w:rPr>
        <w:t>低于阈值的项目立刻剔除，而且对潜在竞争者资质等级，正在开展的项目饱和状况，区域市场份额以及以往报价范围实施画像剖析，进而产生竞争态势研判报告，从而给是否投标以及投标策略制订赋予数据支撑</w:t>
      </w:r>
      <w:r>
        <w:rPr>
          <w:rFonts w:ascii="宋体" w:eastAsia="宋体" w:hAnsi="宋体" w:cs="宋体" w:hint="eastAsia"/>
          <w:b w:val="0"/>
          <w:bCs w:val="0"/>
          <w:sz w:val="21"/>
          <w:szCs w:val="21"/>
          <w:highlight w:val="red"/>
          <w:vertAlign w:val="superscript"/>
          <w:lang w:val="en-US" w:eastAsia="zh-CN"/>
        </w:rPr>
        <w:t>[3]</w:t>
      </w:r>
      <w:r>
        <w:rPr>
          <w:rFonts w:ascii="宋体" w:eastAsia="宋体" w:hAnsi="宋体" w:cs="宋体" w:hint="eastAsia"/>
          <w:b w:val="0"/>
          <w:bCs w:val="0"/>
          <w:sz w:val="21"/>
          <w:szCs w:val="21"/>
          <w:highlight w:val="red"/>
        </w:rPr>
        <w:t>。</w:t>
      </w:r>
    </w:p>
    <w:p w14:paraId="1CBADD9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b/>
          <w:bCs/>
          <w:sz w:val="21"/>
          <w:szCs w:val="21"/>
          <w:highlight w:val="red"/>
        </w:rPr>
      </w:pPr>
      <w:r>
        <w:rPr>
          <w:rFonts w:ascii="宋体" w:eastAsia="宋体" w:hAnsi="宋体" w:cs="宋体" w:hint="eastAsia"/>
          <w:b/>
          <w:bCs/>
          <w:sz w:val="21"/>
          <w:szCs w:val="21"/>
          <w:highlight w:val="red"/>
        </w:rPr>
        <w:t>3.2细化成本测算颗粒，优化投标报价策略</w:t>
      </w:r>
    </w:p>
    <w:p w14:paraId="0F67160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b w:val="0"/>
          <w:bCs w:val="0"/>
          <w:sz w:val="21"/>
          <w:szCs w:val="21"/>
          <w:highlight w:val="red"/>
        </w:rPr>
      </w:pPr>
      <w:r>
        <w:rPr>
          <w:rFonts w:ascii="宋体" w:eastAsia="宋体" w:hAnsi="宋体" w:cs="宋体" w:hint="eastAsia"/>
          <w:b w:val="0"/>
          <w:bCs w:val="0"/>
          <w:sz w:val="21"/>
          <w:szCs w:val="21"/>
          <w:highlight w:val="red"/>
        </w:rPr>
        <w:t>投标报价的形成机制是由成本测算的细致程度、策略选择的匹配度决定的，二者是报价决策系统里互相制约的两个主要变量，成本底线的精确度直接影响报价策略的可执行范围。推</w:t>
      </w:r>
      <w:r>
        <w:rPr>
          <w:rFonts w:ascii="宋体" w:eastAsia="宋体" w:hAnsi="宋体" w:cs="宋体" w:hint="eastAsia"/>
          <w:b w:val="0"/>
          <w:bCs w:val="0"/>
          <w:sz w:val="21"/>
          <w:szCs w:val="21"/>
          <w:highlight w:val="red"/>
          <w:lang w:eastAsia="zh-CN"/>
        </w:rPr>
        <w:t>行</w:t>
      </w:r>
      <w:r>
        <w:rPr>
          <w:rFonts w:ascii="宋体" w:eastAsia="宋体" w:hAnsi="宋体" w:cs="宋体" w:hint="eastAsia"/>
          <w:b w:val="0"/>
          <w:bCs w:val="0"/>
          <w:sz w:val="21"/>
          <w:szCs w:val="21"/>
          <w:highlight w:val="red"/>
        </w:rPr>
        <w:t>工序级</w:t>
      </w:r>
      <w:r>
        <w:rPr>
          <w:rFonts w:ascii="宋体" w:eastAsia="宋体" w:hAnsi="宋体" w:cs="宋体" w:hint="eastAsia"/>
          <w:b w:val="0"/>
          <w:bCs w:val="0"/>
          <w:sz w:val="21"/>
          <w:szCs w:val="21"/>
          <w:highlight w:val="red"/>
          <w:lang w:eastAsia="zh-CN"/>
        </w:rPr>
        <w:t>成</w:t>
      </w:r>
      <w:r>
        <w:rPr>
          <w:rFonts w:ascii="宋体" w:eastAsia="宋体" w:hAnsi="宋体" w:cs="宋体" w:hint="eastAsia"/>
          <w:b w:val="0"/>
          <w:bCs w:val="0"/>
          <w:sz w:val="21"/>
          <w:szCs w:val="21"/>
          <w:highlight w:val="red"/>
        </w:rPr>
        <w:t>本测算方法，将工程拆解成分部分项工程的工序，联系企业内部定额以及当期市场价格，对人工、材料、机械的消耗量和单价逐项测算，其测算表达式为：</w:t>
      </w:r>
    </w:p>
    <w:p w14:paraId="2F72C6C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sz w:val="21"/>
          <w:szCs w:val="21"/>
          <w:highlight w:val="red"/>
        </w:rPr>
      </w:pPr>
      <m:oMathPara>
        <m:oMath>
          <m:r>
            <w:rPr>
              <w:rFonts w:ascii="Cambria Math" w:eastAsia="宋体" w:hAnsi="Cambria Math" w:cs="宋体" w:hint="eastAsia"/>
              <w:sz w:val="21"/>
              <w:szCs w:val="21"/>
              <w:highlight w:val="red"/>
            </w:rPr>
            <m:t>C=∑(qᵢ×pᵢ)+M+I+T</m:t>
          </m:r>
        </m:oMath>
      </m:oMathPara>
    </w:p>
    <w:p w14:paraId="7A7994E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b w:val="0"/>
          <w:bCs w:val="0"/>
          <w:sz w:val="21"/>
          <w:szCs w:val="21"/>
          <w:highlight w:val="red"/>
        </w:rPr>
      </w:pPr>
      <w:r>
        <w:rPr>
          <w:rFonts w:ascii="宋体" w:eastAsia="宋体" w:hAnsi="宋体" w:cs="宋体" w:hint="eastAsia"/>
          <w:b w:val="0"/>
          <w:bCs w:val="0"/>
          <w:sz w:val="21"/>
          <w:szCs w:val="21"/>
          <w:highlight w:val="red"/>
        </w:rPr>
        <w:t>式中</w:t>
      </w:r>
      <w:r>
        <w:rPr>
          <w:rFonts w:ascii="宋体" w:eastAsia="宋体" w:hAnsi="宋体" w:cs="宋体" w:hint="eastAsia"/>
          <w:b w:val="0"/>
          <w:bCs w:val="0"/>
          <w:sz w:val="21"/>
          <w:szCs w:val="21"/>
          <w:highlight w:val="red"/>
          <w:lang w:eastAsia="zh-CN"/>
        </w:rPr>
        <w:t>C</w:t>
      </w:r>
      <w:r>
        <w:rPr>
          <w:rFonts w:ascii="宋体" w:eastAsia="宋体" w:hAnsi="宋体" w:cs="宋体" w:hint="eastAsia"/>
          <w:b w:val="0"/>
          <w:bCs w:val="0"/>
          <w:sz w:val="21"/>
          <w:szCs w:val="21"/>
          <w:highlight w:val="red"/>
        </w:rPr>
        <w:t>为项目总成本，qᵢ为第i道工序的工程量，pᵢ为第i道工序的综合单价（含人工、材料、机械费），M为措施费，I为间接费，T为税金；材料价格以近三个月区域市场均价为基准，设置价格波动预警区间，对钢筋、水泥等大宗材料用期货价格趋势分析，机械费用分自有设备和租赁设备分别计算，比传统定额法更精确的成本底线。</w:t>
      </w:r>
    </w:p>
    <w:p w14:paraId="198C55D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b/>
          <w:bCs/>
          <w:sz w:val="21"/>
          <w:szCs w:val="21"/>
          <w:highlight w:val="red"/>
        </w:rPr>
      </w:pPr>
    </w:p>
    <w:p w14:paraId="26737C5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b/>
          <w:bCs/>
          <w:sz w:val="21"/>
          <w:szCs w:val="21"/>
          <w:highlight w:val="red"/>
        </w:rPr>
      </w:pPr>
    </w:p>
    <w:p w14:paraId="61B2409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b/>
          <w:bCs/>
          <w:sz w:val="21"/>
          <w:szCs w:val="21"/>
          <w:highlight w:val="red"/>
        </w:rPr>
      </w:pPr>
      <w:r>
        <w:rPr>
          <w:rFonts w:ascii="宋体" w:eastAsia="宋体" w:hAnsi="宋体" w:cs="宋体" w:hint="eastAsia"/>
          <w:b/>
          <w:bCs/>
          <w:sz w:val="21"/>
          <w:szCs w:val="21"/>
          <w:highlight w:val="red"/>
        </w:rPr>
        <w:t>3.3推行三岗联编机制，提升标书编制质量</w:t>
      </w:r>
    </w:p>
    <w:p w14:paraId="333C279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b w:val="0"/>
          <w:bCs w:val="0"/>
          <w:sz w:val="21"/>
          <w:szCs w:val="21"/>
          <w:highlight w:val="red"/>
          <w:lang w:eastAsia="zh-CN"/>
        </w:rPr>
      </w:pPr>
      <w:r>
        <w:rPr>
          <w:rFonts w:ascii="宋体" w:eastAsia="宋体" w:hAnsi="宋体" w:cs="宋体" w:hint="eastAsia"/>
          <w:b w:val="0"/>
          <w:bCs w:val="0"/>
          <w:sz w:val="21"/>
          <w:szCs w:val="21"/>
          <w:highlight w:val="red"/>
        </w:rPr>
        <w:t>投标文件是企业向评标主体传递技术能力、管理水平和履约信誉的主要信息载体，投标文件的编制质量直接影响到信息传递是否有效以及评标专家对企业的认识评价</w:t>
      </w:r>
      <w:r>
        <w:rPr>
          <w:rFonts w:ascii="宋体" w:eastAsia="宋体" w:hAnsi="宋体" w:cs="宋体" w:hint="eastAsia"/>
          <w:b w:val="0"/>
          <w:bCs w:val="0"/>
          <w:sz w:val="21"/>
          <w:szCs w:val="21"/>
          <w:highlight w:val="red"/>
          <w:lang w:eastAsia="zh-CN"/>
        </w:rPr>
        <w:t>。</w:t>
      </w:r>
    </w:p>
    <w:p w14:paraId="55DC03A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b w:val="0"/>
          <w:bCs w:val="0"/>
          <w:sz w:val="21"/>
          <w:szCs w:val="21"/>
          <w:highlight w:val="red"/>
        </w:rPr>
      </w:pPr>
      <w:r>
        <w:rPr>
          <w:rFonts w:ascii="宋体" w:eastAsia="宋体" w:hAnsi="宋体" w:cs="宋体" w:hint="eastAsia"/>
          <w:b w:val="0"/>
          <w:bCs w:val="0"/>
          <w:sz w:val="21"/>
          <w:szCs w:val="21"/>
          <w:highlight w:val="red"/>
        </w:rPr>
        <w:t>一是实行市场、技术、造价三岗联合编制机制，市场人员根据前期对接过程中得到的业主关注点、特殊需求、评标偏好等信息，整理出标书编制指引，明确技术方案要回应的内容，技术人员负责施工组织设计及专项方案的编制，针对项目重难点工程制定专项技术措施，造价人员负责工程量清单复核及报价文件的编制，在编制过程中每周召开一次协同会议，保证技术方案和报价数据的一致性，防止出现方案描述与清单报价不一致的情况。</w:t>
      </w:r>
    </w:p>
    <w:p w14:paraId="74B29F6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b w:val="0"/>
          <w:bCs w:val="0"/>
          <w:sz w:val="21"/>
          <w:szCs w:val="21"/>
          <w:highlight w:val="red"/>
        </w:rPr>
      </w:pPr>
      <w:r>
        <w:rPr>
          <w:rFonts w:ascii="宋体" w:eastAsia="宋体" w:hAnsi="宋体" w:cs="宋体" w:hint="eastAsia"/>
          <w:b w:val="0"/>
          <w:bCs w:val="0"/>
          <w:sz w:val="21"/>
          <w:szCs w:val="21"/>
          <w:highlight w:val="red"/>
        </w:rPr>
        <w:t>二是建立三级审核和质量追溯台账制度，标书初稿完成后由编制人自审、部门负责人复审、总工程师终审，三级审核分别设置不同的审核重点，自审侧重内容完整性、数据准确性，复审侧重方案针对性、逻辑合理性，终审侧重响应性、整体策略，审核意见逐条记录在质量追溯台账中，明确整改责任人和完成时限，避免重复出现同类问题</w:t>
      </w:r>
      <w:r>
        <w:rPr>
          <w:rFonts w:ascii="宋体" w:eastAsia="宋体" w:hAnsi="宋体" w:cs="宋体" w:hint="eastAsia"/>
          <w:b w:val="0"/>
          <w:bCs w:val="0"/>
          <w:sz w:val="21"/>
          <w:szCs w:val="21"/>
          <w:highlight w:val="red"/>
          <w:vertAlign w:val="superscript"/>
          <w:lang w:val="en-US" w:eastAsia="zh-CN"/>
        </w:rPr>
        <w:t>[4]</w:t>
      </w:r>
      <w:r>
        <w:rPr>
          <w:rFonts w:ascii="宋体" w:eastAsia="宋体" w:hAnsi="宋体" w:cs="宋体" w:hint="eastAsia"/>
          <w:b w:val="0"/>
          <w:bCs w:val="0"/>
          <w:sz w:val="21"/>
          <w:szCs w:val="21"/>
          <w:highlight w:val="red"/>
        </w:rPr>
        <w:t>。</w:t>
      </w:r>
    </w:p>
    <w:p w14:paraId="02A6D5C0"/>
    <w:p w14:paraId="32C454B4"/>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0"/>
    <w:family w:val="auto"/>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2"/>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BF382A"/>
    <w:rsid w:val="32BF38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3043</Words>
  <Characters>3124</Characters>
  <Application>Microsoft Office Word</Application>
  <DocSecurity>0</DocSecurity>
  <Lines>0</Lines>
  <Paragraphs>0</Paragraphs>
  <ScaleCrop>false</ScaleCrop>
  <Company/>
  <LinksUpToDate>false</LinksUpToDate>
  <CharactersWithSpaces>3124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Resurgam</dc:creator>
  <cp:lastModifiedBy>Resurgam</cp:lastModifiedBy>
  <cp:revision>1</cp:revision>
  <dcterms:created xsi:type="dcterms:W3CDTF">2026-09-29T01:00:00Z</dcterms:created>
  <dcterms:modified xsi:type="dcterms:W3CDTF">2026-09-29T03:06:34Z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6363916DED2542BDB7BA42FA2E76725A_11</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