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4C917E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摘要</w:t>
      </w:r>
      <w:r>
        <w:rPr>
          <w:rFonts w:ascii="Times New Roman" w:eastAsia="宋体" w:hAnsi="Times New Roman" w:cs="Times New Roman" w:hint="default"/>
          <w:b w:val="0"/>
          <w:bCs w:val="0"/>
          <w:sz w:val="21"/>
          <w:szCs w:val="21"/>
          <w:highlight w:val="yellow"/>
          <w:lang w:eastAsia="zh-CN"/>
        </w:rPr>
        <w:t>：</w:t>
      </w:r>
      <w:r>
        <w:rPr>
          <w:rFonts w:ascii="Times New Roman" w:eastAsia="宋体" w:hAnsi="Times New Roman" w:cs="Times New Roman" w:hint="default"/>
          <w:b w:val="0"/>
          <w:bCs w:val="0"/>
          <w:sz w:val="21"/>
          <w:szCs w:val="21"/>
          <w:highlight w:val="yellow"/>
        </w:rPr>
        <w:t>数字经济大潮正深刻地改变着传统能源企业经营的逻辑和管理手段，档案管理工作是企业发展的历史记录和技术创新的积累，档案管理的数字化转型水平决定着煤矿企业治理能力现代化的程度。本文以新形势下煤矿企业档案管理数字化建设为研究对象，从流程优化、资产保全两个方面阐述数字化建设的时代价值，对数字化系统在档案录入、档案管理、检索利用等场景中的应用路径进行梳理，提出包含技术研发、制度完善、安</w:t>
      </w:r>
      <w:r>
        <w:rPr>
          <w:rFonts w:ascii="Times New Roman" w:eastAsia="宋体" w:hAnsi="Times New Roman" w:cs="Times New Roman" w:hint="default"/>
          <w:b w:val="0"/>
          <w:bCs w:val="0"/>
          <w:sz w:val="21"/>
          <w:szCs w:val="21"/>
          <w:highlight w:val="yellow"/>
          <w:lang w:val="en-US" w:eastAsia="zh-CN"/>
        </w:rPr>
        <w:t>全</w:t>
      </w:r>
      <w:r>
        <w:rPr>
          <w:rFonts w:ascii="Times New Roman" w:eastAsia="宋体" w:hAnsi="Times New Roman" w:cs="Times New Roman" w:hint="default"/>
          <w:b w:val="0"/>
          <w:bCs w:val="0"/>
          <w:sz w:val="21"/>
          <w:szCs w:val="21"/>
          <w:highlight w:val="yellow"/>
        </w:rPr>
        <w:t>防护三个方面的实践策略，为煤矿企业档案管理数字化转型提供可操作的思路参考。</w:t>
      </w:r>
    </w:p>
    <w:p w14:paraId="3DFEE90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bookmarkStart w:id="0" w:name="_GoBack"/>
      <w:r>
        <w:rPr>
          <w:rStyle w:val="Strong"/>
          <w:rFonts w:ascii="Times New Roman" w:eastAsia="宋体" w:hAnsi="Times New Roman" w:cs="Times New Roman" w:hint="default"/>
          <w:b w:val="0"/>
          <w:bCs w:val="0"/>
          <w:sz w:val="21"/>
          <w:szCs w:val="21"/>
          <w:highlight w:val="yellow"/>
        </w:rPr>
        <w:t>关键词：</w:t>
      </w:r>
      <w:r>
        <w:rPr>
          <w:rFonts w:ascii="Times New Roman" w:eastAsia="宋体" w:hAnsi="Times New Roman" w:cs="Times New Roman" w:hint="default"/>
          <w:b w:val="0"/>
          <w:bCs w:val="0"/>
          <w:sz w:val="21"/>
          <w:szCs w:val="21"/>
          <w:highlight w:val="yellow"/>
        </w:rPr>
        <w:t>煤矿企业；档案管理；数字化建设；应用场景</w:t>
      </w:r>
    </w:p>
    <w:bookmarkEnd w:id="0"/>
    <w:p w14:paraId="348DCC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p>
    <w:p w14:paraId="018BAB9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煤炭</w:t>
      </w:r>
      <w:r>
        <w:rPr>
          <w:rFonts w:ascii="Times New Roman" w:eastAsia="宋体" w:hAnsi="Times New Roman" w:cs="Times New Roman" w:hint="default"/>
          <w:b w:val="0"/>
          <w:bCs w:val="0"/>
          <w:sz w:val="21"/>
          <w:szCs w:val="21"/>
          <w:highlight w:val="yellow"/>
          <w:lang w:eastAsia="zh-CN"/>
        </w:rPr>
        <w:t>行</w:t>
      </w:r>
      <w:r>
        <w:rPr>
          <w:rFonts w:ascii="Times New Roman" w:eastAsia="宋体" w:hAnsi="Times New Roman" w:cs="Times New Roman" w:hint="default"/>
          <w:b w:val="0"/>
          <w:bCs w:val="0"/>
          <w:sz w:val="21"/>
          <w:szCs w:val="21"/>
          <w:highlight w:val="yellow"/>
        </w:rPr>
        <w:t>业是我国能源安全的主阵地，在新一轮科</w:t>
      </w:r>
      <w:r>
        <w:rPr>
          <w:rFonts w:ascii="Times New Roman" w:eastAsia="宋体" w:hAnsi="Times New Roman" w:cs="Times New Roman" w:hint="eastAsia"/>
          <w:b w:val="0"/>
          <w:bCs w:val="0"/>
          <w:sz w:val="21"/>
          <w:szCs w:val="21"/>
          <w:highlight w:val="yellow"/>
          <w:lang w:eastAsia="zh-CN"/>
        </w:rPr>
        <w:t>技革命与产业变革的大背景之</w:t>
      </w:r>
      <w:r>
        <w:rPr>
          <w:rFonts w:ascii="Times New Roman" w:eastAsia="宋体" w:hAnsi="Times New Roman" w:cs="Times New Roman" w:hint="default"/>
          <w:b w:val="0"/>
          <w:bCs w:val="0"/>
          <w:sz w:val="21"/>
          <w:szCs w:val="21"/>
          <w:highlight w:val="yellow"/>
        </w:rPr>
        <w:t>下，煤炭行业正处在转型升级的迫切需求中。目前大多数煤矿企业的档案管理还处在纸质档案和电子档案并存的过渡期，数字化建设存在着标准不统一、系统集成度低、人才储备不足等状况，不能满足企业精细化管理、高质量发展的</w:t>
      </w:r>
      <w:r>
        <w:rPr>
          <w:rFonts w:ascii="Times New Roman" w:eastAsia="宋体" w:hAnsi="Times New Roman" w:cs="Times New Roman" w:hint="eastAsia"/>
          <w:b w:val="0"/>
          <w:bCs w:val="0"/>
          <w:sz w:val="21"/>
          <w:szCs w:val="21"/>
          <w:highlight w:val="yellow"/>
          <w:lang w:val="en-US" w:eastAsia="zh-CN"/>
        </w:rPr>
        <w:t>需要。在此</w:t>
      </w:r>
      <w:r>
        <w:rPr>
          <w:rFonts w:ascii="Times New Roman" w:eastAsia="宋体" w:hAnsi="Times New Roman" w:cs="Times New Roman" w:hint="default"/>
          <w:b w:val="0"/>
          <w:bCs w:val="0"/>
          <w:sz w:val="21"/>
          <w:szCs w:val="21"/>
          <w:highlight w:val="yellow"/>
        </w:rPr>
        <w:t>情况下，本文根据煤矿企业档案管理的实际情况，从价值内涵和应用场景两个方面入手，提出相应的实践策略。</w:t>
      </w:r>
    </w:p>
    <w:p w14:paraId="38350A9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rPr>
      </w:pPr>
    </w:p>
    <w:p w14:paraId="57D5B65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Style w:val="Strong"/>
          <w:rFonts w:ascii="Times New Roman" w:eastAsia="宋体" w:hAnsi="Times New Roman" w:cs="Times New Roman" w:hint="default"/>
          <w:b w:val="0"/>
          <w:bCs w:val="0"/>
          <w:sz w:val="21"/>
          <w:szCs w:val="21"/>
          <w:highlight w:val="yellow"/>
        </w:rPr>
        <w:t>（1）档案准备</w:t>
      </w:r>
      <w:r>
        <w:rPr>
          <w:rStyle w:val="Strong"/>
          <w:rFonts w:ascii="Times New Roman" w:eastAsia="宋体" w:hAnsi="Times New Roman" w:cs="Times New Roman" w:hint="eastAsia"/>
          <w:b w:val="0"/>
          <w:bCs w:val="0"/>
          <w:sz w:val="21"/>
          <w:szCs w:val="21"/>
          <w:highlight w:val="yellow"/>
          <w:lang w:eastAsia="zh-CN"/>
        </w:rPr>
        <w:t>（</w:t>
      </w:r>
      <w:r>
        <w:rPr>
          <w:rStyle w:val="Strong"/>
          <w:rFonts w:ascii="Times New Roman" w:eastAsia="宋体" w:hAnsi="Times New Roman" w:cs="Times New Roman" w:hint="eastAsia"/>
          <w:b w:val="0"/>
          <w:bCs w:val="0"/>
          <w:sz w:val="21"/>
          <w:szCs w:val="21"/>
          <w:highlight w:val="yellow"/>
          <w:lang w:val="en-US" w:eastAsia="zh-CN"/>
        </w:rPr>
        <w:t>前置工序</w:t>
      </w:r>
      <w:r>
        <w:rPr>
          <w:rStyle w:val="Strong"/>
          <w:rFonts w:ascii="Times New Roman" w:eastAsia="宋体" w:hAnsi="Times New Roman" w:cs="Times New Roman" w:hint="eastAsia"/>
          <w:b w:val="0"/>
          <w:bCs w:val="0"/>
          <w:sz w:val="21"/>
          <w:szCs w:val="21"/>
          <w:highlight w:val="yellow"/>
          <w:lang w:eastAsia="zh-CN"/>
        </w:rPr>
        <w:t>）：</w:t>
      </w:r>
      <w:r>
        <w:rPr>
          <w:rFonts w:ascii="Times New Roman" w:eastAsia="宋体" w:hAnsi="Times New Roman" w:cs="Times New Roman" w:hint="default"/>
          <w:b w:val="0"/>
          <w:bCs w:val="0"/>
          <w:sz w:val="21"/>
          <w:szCs w:val="21"/>
          <w:highlight w:val="yellow"/>
        </w:rPr>
        <w:t>主要包括调卷、清点、登记、交接这四个环节。工作人员按照工作计划分批调取档案，清点时准确统计到页、件、盒、卷等各个层次，核对附件是否齐全，交接双方现场填写交接清单，注明接收日期、文件名称、页数和数量等信息，确认无误后签字留存，对破损或者折叠的档案还要做初步修整，保证档案以完好状态进入扫描环节</w:t>
      </w:r>
      <w:r>
        <w:rPr>
          <w:rFonts w:ascii="Times New Roman" w:eastAsia="宋体" w:hAnsi="Times New Roman" w:cs="Times New Roman" w:hint="eastAsia"/>
          <w:b w:val="0"/>
          <w:bCs w:val="0"/>
          <w:sz w:val="21"/>
          <w:szCs w:val="21"/>
          <w:highlight w:val="yellow"/>
          <w:vertAlign w:val="superscript"/>
          <w:lang w:val="en-US" w:eastAsia="zh-CN"/>
        </w:rPr>
        <w:t>[2]</w:t>
      </w:r>
      <w:r>
        <w:rPr>
          <w:rFonts w:ascii="Times New Roman" w:eastAsia="宋体" w:hAnsi="Times New Roman" w:cs="Times New Roman" w:hint="default"/>
          <w:b w:val="0"/>
          <w:bCs w:val="0"/>
          <w:sz w:val="21"/>
          <w:szCs w:val="21"/>
          <w:highlight w:val="yellow"/>
        </w:rPr>
        <w:t>。</w:t>
      </w:r>
    </w:p>
    <w:p w14:paraId="27B4429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Style w:val="Strong"/>
          <w:rFonts w:ascii="Times New Roman" w:eastAsia="宋体" w:hAnsi="Times New Roman" w:cs="Times New Roman" w:hint="default"/>
          <w:b w:val="0"/>
          <w:bCs w:val="0"/>
          <w:sz w:val="21"/>
          <w:szCs w:val="21"/>
          <w:highlight w:val="yellow"/>
        </w:rPr>
        <w:t>（2）档案扫描</w:t>
      </w:r>
      <w:r>
        <w:rPr>
          <w:rStyle w:val="Strong"/>
          <w:rFonts w:ascii="Times New Roman" w:eastAsia="宋体" w:hAnsi="Times New Roman" w:cs="Times New Roman" w:hint="eastAsia"/>
          <w:b w:val="0"/>
          <w:bCs w:val="0"/>
          <w:sz w:val="21"/>
          <w:szCs w:val="21"/>
          <w:highlight w:val="yellow"/>
          <w:lang w:eastAsia="zh-CN"/>
        </w:rPr>
        <w:t>（</w:t>
      </w:r>
      <w:r>
        <w:rPr>
          <w:rFonts w:ascii="Times New Roman" w:eastAsia="宋体" w:hAnsi="Times New Roman" w:cs="Times New Roman" w:hint="default"/>
          <w:b w:val="0"/>
          <w:bCs w:val="0"/>
          <w:sz w:val="21"/>
          <w:szCs w:val="21"/>
          <w:highlight w:val="yellow"/>
        </w:rPr>
        <w:t>核心工序</w:t>
      </w:r>
      <w:r>
        <w:rPr>
          <w:rStyle w:val="Strong"/>
          <w:rFonts w:ascii="Times New Roman" w:eastAsia="宋体" w:hAnsi="Times New Roman" w:cs="Times New Roman" w:hint="eastAsia"/>
          <w:b w:val="0"/>
          <w:bCs w:val="0"/>
          <w:sz w:val="21"/>
          <w:szCs w:val="21"/>
          <w:highlight w:val="yellow"/>
          <w:lang w:eastAsia="zh-CN"/>
        </w:rPr>
        <w:t>）：</w:t>
      </w:r>
      <w:r>
        <w:rPr>
          <w:rFonts w:ascii="Times New Roman" w:eastAsia="宋体" w:hAnsi="Times New Roman" w:cs="Times New Roman" w:hint="default"/>
          <w:b w:val="0"/>
          <w:bCs w:val="0"/>
          <w:sz w:val="21"/>
          <w:szCs w:val="21"/>
          <w:highlight w:val="yellow"/>
        </w:rPr>
        <w:t>操作人员要按照《纸质档案数字化规范》的要求，根据档案纸张状况和利用需求来确定扫描方式、色彩模式、分辨率参数，不同的档案类型有不同的扫描参数，具体的见表1。扫描时注意保护档案原件，防止由于操作不当造成纸张撕裂或者字迹受损。</w:t>
      </w:r>
    </w:p>
    <w:p w14:paraId="5ACD81F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rPr>
      </w:pPr>
    </w:p>
    <w:p w14:paraId="38DE1C7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rPr>
      </w:pPr>
    </w:p>
    <w:p w14:paraId="49DE9E2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rPr>
      </w:pPr>
      <w:r>
        <w:rPr>
          <w:rFonts w:ascii="Times New Roman" w:eastAsia="宋体" w:hAnsi="Times New Roman" w:cs="Times New Roman" w:hint="default"/>
          <w:b w:val="0"/>
          <w:bCs w:val="0"/>
          <w:sz w:val="21"/>
          <w:szCs w:val="21"/>
        </w:rPr>
        <w:t>2.2.1用户与组织架构管理</w:t>
      </w:r>
    </w:p>
    <w:p w14:paraId="1A9D27D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用户和组织架构管理属于数字化系统权限控制的基本模块，主要完成用户信息的维护和部门架构的调整工作</w:t>
      </w:r>
      <w:r>
        <w:rPr>
          <w:rFonts w:ascii="Times New Roman" w:eastAsia="宋体" w:hAnsi="Times New Roman" w:cs="Times New Roman" w:hint="eastAsia"/>
          <w:b w:val="0"/>
          <w:bCs w:val="0"/>
          <w:sz w:val="21"/>
          <w:szCs w:val="21"/>
          <w:highlight w:val="yellow"/>
          <w:vertAlign w:val="superscript"/>
          <w:lang w:val="en-US" w:eastAsia="zh-CN"/>
        </w:rPr>
        <w:t>[3]</w:t>
      </w:r>
      <w:r>
        <w:rPr>
          <w:rFonts w:ascii="Times New Roman" w:eastAsia="宋体" w:hAnsi="Times New Roman" w:cs="Times New Roman" w:hint="default"/>
          <w:b w:val="0"/>
          <w:bCs w:val="0"/>
          <w:sz w:val="21"/>
          <w:szCs w:val="21"/>
          <w:highlight w:val="yellow"/>
        </w:rPr>
        <w:t>。系统管理员根据企业的实际情况可以对用户账号和部门信息进行新增、修改或者删除，执行删除等敏感操作时系统会弹出确认框以防止误操作，档案管理员登录后系统会自动对用户的权限等级进行校验，只有具备管理权限的用户才能对用户信息进行增删改操作，权限不足时该模块处于冻结状态，以此来保证系统的操作具有可追溯性和安全性。用户管理流程如图1所示。</w:t>
      </w:r>
    </w:p>
    <w:p w14:paraId="73D83C3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p>
    <w:p w14:paraId="03294D4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从管理保障角度来讲，企业要制订档案信息安全管理制度和应急预案，明晰各个层次人员的安全职责及操作权限，定时展开数据备份和灾难恢复演练，保证系统出现故障或者网络遭到攻击的时候可以迅速重启档案数据，加强从业人员安全保密教育，签定保密协议，从技术与管理两个方面创建起多层次的安全防护体系，给数字化创建营造出安全可靠的操作环境。</w:t>
      </w:r>
    </w:p>
    <w:p w14:paraId="4C49F72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highlight w:val="yellow"/>
        </w:rPr>
      </w:pPr>
      <w:r>
        <w:rPr>
          <w:rFonts w:ascii="Times New Roman" w:eastAsia="宋体" w:hAnsi="Times New Roman" w:cs="Times New Roman" w:hint="eastAsia"/>
          <w:b/>
          <w:bCs/>
          <w:sz w:val="21"/>
          <w:szCs w:val="21"/>
          <w:highlight w:val="yellow"/>
          <w:lang w:val="en-US" w:eastAsia="zh-CN"/>
        </w:rPr>
        <w:t>4</w:t>
      </w:r>
      <w:r>
        <w:rPr>
          <w:rFonts w:ascii="Times New Roman" w:eastAsia="宋体" w:hAnsi="Times New Roman" w:cs="Times New Roman" w:hint="default"/>
          <w:b/>
          <w:bCs/>
          <w:sz w:val="21"/>
          <w:szCs w:val="21"/>
          <w:highlight w:val="yellow"/>
        </w:rPr>
        <w:t>结语</w:t>
      </w:r>
    </w:p>
    <w:p w14:paraId="76AA485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highlight w:val="yellow"/>
        </w:rPr>
      </w:pPr>
      <w:r>
        <w:rPr>
          <w:rFonts w:ascii="Times New Roman" w:eastAsia="宋体" w:hAnsi="Times New Roman" w:cs="Times New Roman" w:hint="default"/>
          <w:b w:val="0"/>
          <w:bCs w:val="0"/>
          <w:sz w:val="21"/>
          <w:szCs w:val="21"/>
          <w:highlight w:val="yellow"/>
        </w:rPr>
        <w:t>综上所述，煤矿企业档案管理数字化建设是技术、人才、制度、安全四者相结合的系统工程，它的价值不单是提高管理效率、保存档案资产，更是给企业高质量发展提供强有力的支撑。随着大数据、人工智能等技术的不断发展，煤矿企业档案管理数字化将朝着智能化、知识化的方向发展，档案数据深层次的价值将会被挖掘出来并加以释放，企业应该不断地加大投入，完善机制，推动档案管理数字化建设向纵深发展。</w:t>
      </w:r>
    </w:p>
    <w:p w14:paraId="1BD9B546">
      <w:pPr>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03901"/>
    <w:rsid w:val="35703901"/>
    <w:rsid w:val="362706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2026-09-22T08:37:00Z</dcterms:created>
  <dcterms:modified xsi:type="dcterms:W3CDTF">2026-09-22T09:23:17Z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6523342E41174B97B6666244A4B5B5F8_11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