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014AC2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预算编制环节，财务部门在每年第四季度向业务部门发布统一的预算编制模板和填报指引，对收入预测、成本费用、资本支出的填报口径和数据来源作出规定，业务部门提交初稿后财务人员要逐项进行合理性校验并反馈修改意见，经过多次沟通后形成正式预算方案上报管理层审批。合同审批环节，在OA系统里设置强制的财务审核节点，所有的对外合同在业务部门初审之后必须流转到财务部门，由财务人员对付款方式、发票开具、涉税条款和资金安排进行审核并出具书面意见，未经财务审核的合同不得用印签署。成本归集环节，财务部门要同业务部门一起制订费用分类准则和报销规范，确定各种费用的入账科目以及附件要求，在业务系统里加入费用预提和分摊的自动计算规则，缩减业务发生和财务确认之间的间隔。绩效评价环节，企业应当把业财协同指标纳入各部门的考核体系当中，即业务部门增加预算执行率和成本控制率指标，财务部门增加业务响应时效和决策支撑满意度指标，以此作为考核指挥棒来促使两个部门朝着共同的目标努力</w:t>
      </w:r>
      <w:r>
        <w:rPr>
          <w:rFonts w:ascii="宋体" w:eastAsia="宋体" w:hAnsi="宋体" w:cs="宋体" w:hint="eastAsia"/>
          <w:b w:val="0"/>
          <w:bCs w:val="0"/>
          <w:color w:val="0000FF"/>
          <w:sz w:val="21"/>
          <w:szCs w:val="21"/>
          <w:vertAlign w:val="superscript"/>
          <w:lang w:val="en-US" w:eastAsia="zh-CN"/>
        </w:rPr>
        <w:t>[4]</w:t>
      </w:r>
      <w:r>
        <w:rPr>
          <w:rFonts w:ascii="宋体" w:eastAsia="宋体" w:hAnsi="宋体" w:cs="宋体" w:hint="eastAsia"/>
          <w:b w:val="0"/>
          <w:bCs w:val="0"/>
          <w:color w:val="0000FF"/>
          <w:sz w:val="21"/>
          <w:szCs w:val="21"/>
        </w:rPr>
        <w:t>。</w:t>
      </w:r>
    </w:p>
    <w:p w14:paraId="4EC3FD2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宋体" w:eastAsia="宋体" w:hAnsi="宋体" w:cs="宋体" w:hint="eastAsia"/>
          <w:b w:val="0"/>
          <w:bCs w:val="0"/>
          <w:color w:val="0000FF"/>
          <w:sz w:val="21"/>
          <w:szCs w:val="21"/>
        </w:rPr>
      </w:pPr>
      <w:bookmarkStart w:id="0" w:name="_GoBack"/>
      <w:bookmarkEnd w:id="0"/>
    </w:p>
    <w:p w14:paraId="528B84A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是拓宽复合型人才引进渠道，企业可以对校园招聘、社会招聘中的具有财务和业务双重背景的候选人进行定向选拔，即具有会计专业学位并且有行业实习经历的毕业生、在业务岗位上自学取得会计职称的在职人员等，优先充实到业财融合关键岗位，同时在招聘面试中加入跨领域案例分析环节，考察候选人的业财双向思维能力。二是制定系统的内部培训计划，对财务人员进行业务知识系列培训，内容包括行业发展趋势、公司产品线、销售流程和客户管理等，聘请业务部门负责人和资深业务骨干担任讲师，每季度组织一次集中培训并进行考核，</w:t>
      </w:r>
      <w:r>
        <w:rPr>
          <w:rFonts w:ascii="宋体" w:eastAsia="宋体" w:hAnsi="宋体" w:cs="宋体" w:hint="eastAsia"/>
          <w:b w:val="0"/>
          <w:bCs w:val="0"/>
          <w:color w:val="0000FF"/>
          <w:sz w:val="21"/>
          <w:szCs w:val="21"/>
          <w:lang w:eastAsia="zh-CN"/>
        </w:rPr>
        <w:t>对业务人员</w:t>
      </w:r>
      <w:r>
        <w:rPr>
          <w:rFonts w:ascii="宋体" w:eastAsia="宋体" w:hAnsi="宋体" w:cs="宋体" w:hint="eastAsia"/>
          <w:b w:val="0"/>
          <w:bCs w:val="0"/>
          <w:color w:val="0000FF"/>
          <w:sz w:val="21"/>
          <w:szCs w:val="21"/>
        </w:rPr>
        <w:t>进行财务素养普及培训，讲解财务报表阅读、成本构成分析、预算编制方法、税务基础知识等，使业务人员具备基本的财务思维。第三，创建常态化的业财轮岗制度，每年挑选一定数量的财务人员去业务部门挂职锻炼，同时安排业务骨干到财务部门进行三个月到六个月的轮岗学</w:t>
      </w:r>
      <w:r>
        <w:rPr>
          <w:rFonts w:ascii="宋体" w:eastAsia="宋体" w:hAnsi="宋体" w:cs="宋体" w:hint="eastAsia"/>
          <w:b w:val="0"/>
          <w:bCs w:val="0"/>
          <w:color w:val="0000FF"/>
          <w:sz w:val="21"/>
          <w:szCs w:val="21"/>
          <w:lang w:eastAsia="zh-CN"/>
        </w:rPr>
        <w:t>习，</w:t>
      </w:r>
      <w:r>
        <w:rPr>
          <w:rFonts w:ascii="宋体" w:eastAsia="宋体" w:hAnsi="宋体" w:cs="宋体" w:hint="eastAsia"/>
          <w:b w:val="0"/>
          <w:bCs w:val="0"/>
          <w:color w:val="0000FF"/>
          <w:sz w:val="21"/>
          <w:szCs w:val="21"/>
        </w:rPr>
        <w:t>把轮岗期间的表现记入个人职业发展档案，作为晋升和调薪的依据之一，鼓励员工参加管理会计师、注册会计师等专业资格考试，对取得证书的员工给予学费报销和岗位津贴，逐步形成一支懂业务、精财务、善沟通的复合型人才队伍。</w:t>
      </w:r>
    </w:p>
    <w:p w14:paraId="180AE40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Style w:val="Strong"/>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rPr>
        <w:t>结语</w:t>
      </w:r>
    </w:p>
    <w:p w14:paraId="7448102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因此，业财融合是企业在数字经济时代实现管理升级和价值创造的必由之路，它的推进过程包含理念重塑、制度重构、技术赋能和人才培养等诸多方面系统的改变，不是一朝一夕可以完成的。企业要正视融合过程中出现的认知偏差、制度滞后、系统孤岛和人才短缺等问题，依靠战略定力来推动各项应对措施的实施，在实践中不断摸索出符合自身特点的融合路径。随着人工智能、大数据、云计算等技术不断深入应用，业财融合将向智能化、实时化、前瞻化发展，只有不断加强融合实践，完善融合机制，才能在日趋激烈的市场竞争中获得主动权、走得更稳更远。</w:t>
      </w:r>
    </w:p>
    <w:p w14:paraId="7DBFA426"/>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F302AA"/>
    <w:rsid w:val="7FF302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2026-09-22T00:33:00Z</dcterms:created>
  <dcterms:modified xsi:type="dcterms:W3CDTF">2026-09-22T00:34:46Z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12F2127947F44F5CB99DFF8C236FEF80_11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