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92589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  <w:bookmarkStart w:id="0" w:name="_GoBack"/>
      <w:r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  <w:t>2.1初期症状</w:t>
      </w:r>
    </w:p>
    <w:p w14:paraId="6A8632AD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发病初期病牛前胃功能处于迟缓状态，食欲时好时坏，反刍次数减少，间隔变长，排出的粪便干燥坚硬，呈算盘珠样大小，表面常有少量黏液。瘤胃轻度臌气，瓣胃蠕动音减弱或者消失，在右侧腹壁瓣胃区触诊时病牛会表现出明显的疼痛反应，叩诊该区域为浊音。病牛精神状态不好，偶有呻吟声，鼻镜干燥，泌乳期奶牛表现为泌乳量减少、乳质稀薄，该期症状无特异性，容易被饲养人员忽略而延误治疗时机</w:t>
      </w:r>
      <w:r>
        <w:rPr>
          <w:rFonts w:ascii="Times New Roman" w:eastAsia="宋体" w:hAnsi="Times New Roman" w:cs="Times New Roman" w:hint="eastAsia"/>
          <w:b w:val="0"/>
          <w:bCs w:val="0"/>
          <w:color w:val="0000FF"/>
          <w:sz w:val="21"/>
          <w:szCs w:val="21"/>
          <w:vertAlign w:val="superscript"/>
          <w:lang w:val="en-US" w:eastAsia="zh-CN"/>
        </w:rPr>
        <w:t>[2]</w:t>
      </w: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。</w:t>
      </w:r>
    </w:p>
    <w:p w14:paraId="20AC3F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  <w:t>2.2中期症状</w:t>
      </w:r>
    </w:p>
    <w:p w14:paraId="6657A85A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随着病程的进展，病牛的精神状态变得沉郁，对外界的刺激反应迟钝，鼻镜干燥加重，龟裂，空嚼磨牙次数增多，呼吸加快，脉搏达到90～100次/分钟以上。反刍完全停止，食欲废绝，瘤胃收缩节律缓慢且力量微弱，瘤胃穿刺时可以感觉到明显的阻力。病牛尿量减少、颜色变黄赤，腹围稍大，拱背缩腹，站立时不愿动，部分病牛体温轻度升高，此阶段瓣胃内容物已经大量干结，单纯依靠胃肠蠕动很难排出。</w:t>
      </w:r>
    </w:p>
    <w:p w14:paraId="36816E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  <w:t>2.3后期症状</w:t>
      </w:r>
    </w:p>
    <w:p w14:paraId="224A9E1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发病后期瓣胃小叶逐渐坏死，继发肠炎甚至全身败血症，病牛体温达40℃以上，完全停止采食和排粪，或者只排出少量黑褐色糊状粪便，混有黏液并散发出浓烈的恶臭。排尿量急剧减少甚至尿闭，呼吸次数明显增多，脉搏可达120～140次/分或者更高，有心悸表现。病牛结膜发绀、皮肤温度不均，微循环障碍加重自体中毒，机体严重脱水、眼球下陷，异常虚弱、神情忧郁恐惧，最后多因心力衰竭或者中毒性休克而死</w:t>
      </w:r>
      <w:r>
        <w:rPr>
          <w:rFonts w:ascii="Times New Roman" w:eastAsia="宋体" w:hAnsi="Times New Roman" w:cs="Times New Roman" w:hint="eastAsia"/>
          <w:b w:val="0"/>
          <w:bCs w:val="0"/>
          <w:color w:val="0000FF"/>
          <w:sz w:val="21"/>
          <w:szCs w:val="21"/>
          <w:vertAlign w:val="superscript"/>
          <w:lang w:val="en-US" w:eastAsia="zh-CN"/>
        </w:rPr>
        <w:t>[3]</w:t>
      </w: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。</w:t>
      </w:r>
    </w:p>
    <w:p w14:paraId="07718554">
      <w:pPr>
        <w:rPr>
          <w:color w:val="0000FF"/>
        </w:rPr>
      </w:pPr>
    </w:p>
    <w:p w14:paraId="2351481F">
      <w:pPr>
        <w:rPr>
          <w:color w:val="0000FF"/>
        </w:rPr>
      </w:pPr>
    </w:p>
    <w:p w14:paraId="3816D77D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Style w:val="Strong"/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【处方一】</w:t>
      </w: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五仁散加味取甘草15g、红花45g、生白芍、生地、桃仁、当归、杏仁、郁李仁、麻仁、柏子仁各60g，烘干研末过筛，加开水500ml冲调，候温兑入蜂蜜120g，一次性灌服，1剂/日，连续2～3剂。五仁合用富含油脂而润燥滑肠，生地、生白芍滋阴养血，红花、桃仁活血祛瘀，当归润肠通便，甘草调和诸药，蜂蜜为引增强润燥之力，全方共奏滋阴润燥、消导泻下之效。</w:t>
      </w:r>
    </w:p>
    <w:p w14:paraId="71D58AA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Style w:val="Strong"/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【处方二】</w:t>
      </w: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槟榔散加减取甘草、香附、草寇、五味子、党参各30g，槟榔、当归、厚朴、陈皮、枳实、神曲、炒麦芽各50g，黄芪100g，加水10L文火煎至药液约3L，去渣候温灌服，1次/d，连用3～5d。槟榔行气消积为君，枳实、厚朴、陈皮理气宽中，神曲、炒麦芽消食导滞，党参、黄芪补中益气以防攻下伤正，当归养血润燥，草寇、香附温中理气，五味子收敛固涩，甘草调和诸药，全方攻下通便而不伤正气，兼具软化阻塞物之功。</w:t>
      </w:r>
    </w:p>
    <w:p w14:paraId="248693AB">
      <w:pPr>
        <w:rPr>
          <w:color w:val="0000FF"/>
        </w:rPr>
      </w:pPr>
    </w:p>
    <w:bookmarkEnd w:id="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085E7D"/>
    <w:rsid w:val="35085E7D"/>
    <w:rsid w:val="600C61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2026-09-20T02:20:00Z</dcterms:created>
  <dcterms:modified xsi:type="dcterms:W3CDTF">2026-09-20T02:22:41Z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879D9C9307B7439E8E808CF3EBC47C9F_11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