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C063A0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val="0"/>
          <w:sz w:val="21"/>
          <w:szCs w:val="21"/>
          <w:highlight w:val="yellow"/>
        </w:rPr>
      </w:pPr>
      <w:bookmarkStart w:id="0" w:name="_GoBack"/>
      <w:bookmarkEnd w:id="0"/>
      <w:r>
        <w:rPr>
          <w:rFonts w:ascii="Times New Roman" w:eastAsia="宋体" w:hAnsi="Times New Roman" w:cs="Times New Roman" w:hint="default"/>
          <w:b/>
          <w:bCs w:val="0"/>
          <w:sz w:val="21"/>
          <w:szCs w:val="21"/>
          <w:highlight w:val="yellow"/>
        </w:rPr>
        <w:t>2.2小型养路机具灵活适配补位</w:t>
      </w:r>
    </w:p>
    <w:p w14:paraId="4E1E5FA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sz w:val="21"/>
          <w:szCs w:val="21"/>
          <w:highlight w:val="yellow"/>
        </w:rPr>
      </w:pPr>
      <w:r>
        <w:rPr>
          <w:rFonts w:ascii="Times New Roman" w:eastAsia="宋体" w:hAnsi="Times New Roman" w:cs="Times New Roman" w:hint="default"/>
          <w:b w:val="0"/>
          <w:bCs/>
          <w:sz w:val="21"/>
          <w:szCs w:val="21"/>
          <w:highlight w:val="yellow"/>
        </w:rPr>
        <w:t>站场道岔区、隧道内、桥梁上等特殊工况下，大型养路机械由于作业空间和转弯半径的限制而不能发挥出其应有的作用，而小型养路机械的灵活适应性在这里就起到了不可替代的作用。轻量化升级主要针对设备体积和重量进行优化，小型液压捣固机、便携式钢轨打磨机、电动螺栓扳手等机具可以由人力或者小型车辆迅速运送到作业现场，到达作业面后就可以开始工作，转场时间比大型机械要短得多。灵活化升级主要是针对机具的多功能适应和快速换模，更换工作头或者改变参数之后，一台便携式设备就可以适应不同的扣件、不同的断面钢轨和不同的道床病害，从而降低了专用机具的数量，大机械成编组攻坚和小机具灵活补位相结合的作业方式，可以满足干线集中修到站场日常养护的所有场景需求，装备资源利用率得到提高。</w:t>
      </w:r>
    </w:p>
    <w:p w14:paraId="18368EB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val="0"/>
          <w:sz w:val="21"/>
          <w:szCs w:val="21"/>
          <w:highlight w:val="yellow"/>
        </w:rPr>
      </w:pPr>
    </w:p>
    <w:p w14:paraId="393E500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val="0"/>
          <w:sz w:val="21"/>
          <w:szCs w:val="21"/>
          <w:highlight w:val="yellow"/>
        </w:rPr>
      </w:pPr>
      <w:r>
        <w:rPr>
          <w:rFonts w:ascii="Times New Roman" w:eastAsia="宋体" w:hAnsi="Times New Roman" w:cs="Times New Roman" w:hint="default"/>
          <w:b/>
          <w:bCs w:val="0"/>
          <w:sz w:val="21"/>
          <w:szCs w:val="21"/>
          <w:highlight w:val="yellow"/>
        </w:rPr>
        <w:t>3.2人员技能体系分层培育</w:t>
      </w:r>
    </w:p>
    <w:p w14:paraId="48B0B5F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sz w:val="21"/>
          <w:szCs w:val="21"/>
          <w:highlight w:val="yellow"/>
        </w:rPr>
      </w:pPr>
      <w:r>
        <w:rPr>
          <w:rFonts w:ascii="Times New Roman" w:eastAsia="宋体" w:hAnsi="Times New Roman" w:cs="Times New Roman" w:hint="default"/>
          <w:b w:val="0"/>
          <w:bCs/>
          <w:sz w:val="21"/>
          <w:szCs w:val="21"/>
          <w:highlight w:val="yellow"/>
        </w:rPr>
        <w:t>装备升级对于作业人员的知识结构和操作技能提出了新的要求，人力和装备的匹配情况影响着机械化作业实际产出。分层分类培训体系根据不同的工龄、岗位人员设置不同的培养目标，资深职工以设备辅助操作、现场质检技能的更新为主，把丰富的线路经验转化为机械作业质量控制的能力，青年职工以设备操作、参数调试、基础维保技能的系统训练为主，培养出可以独立操作大型养路机械的操作手队伍。复合型人才培育重视机械和智能技术的交叉领域，使作业人员既会操作设备又会分析检测数据、判断设备运行状态、处理常见故障，降低对外部维保力量的依赖，技能认证和岗位激励机制的配套完善可以稳定一线技能人才队伍，为装备效能的持续发挥提供人力支持。</w:t>
      </w:r>
    </w:p>
    <w:p w14:paraId="10DC8041">
      <w:pPr>
        <w:rPr>
          <w:rFonts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441C7C"/>
    <w:rsid w:val="1B441C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2935</Words>
  <Characters>2988</Characters>
  <Application>Microsoft Office Word</Application>
  <DocSecurity>0</DocSecurity>
  <Lines>0</Lines>
  <Paragraphs>0</Paragraphs>
  <ScaleCrop>false</ScaleCrop>
  <Company/>
  <LinksUpToDate>false</LinksUpToDate>
  <CharactersWithSpaces>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2026-09-17T09:16:00Z</dcterms:created>
  <dcterms:modified xsi:type="dcterms:W3CDTF">2026-09-17T09:32:16Z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500F2196665F4E49A4CBD0F3EF552311_11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