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D75B8AB">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220506D1">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4562CD2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摘要</w:t>
      </w:r>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rPr>
        <w:t>大坝安全监测是水利工程运行管理的重要部分，数据的质量以及处理的效果直接影响到工程风险判断是否准确。本文以水库大坝多源监测数据为研究对象，对监测数据在类型构成、时空分布和质量方面存在的复杂特点进行了分析，梳理出目前数据处理过程中出现的异构兼容、时空配准和质量控制等主要问题，提出了一种包含数据层、特征层和决策层的分层融合处理技术体系，并用具体的工程案例来验证该体系在坝体状态评价和隐患识别方面的应用效果，希望给水库大坝智能化监测和安全运维提供可以借鉴的技术路线和实践依据。</w:t>
      </w:r>
    </w:p>
    <w:p w14:paraId="6998BEB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6AF15E4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29FA260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水库大</w:t>
      </w:r>
      <w:r>
        <w:rPr>
          <w:rFonts w:ascii="Times New Roman" w:eastAsia="宋体" w:hAnsi="Times New Roman" w:cs="Times New Roman" w:hint="default"/>
          <w:b w:val="0"/>
          <w:bCs w:val="0"/>
          <w:sz w:val="21"/>
          <w:szCs w:val="21"/>
          <w:lang w:eastAsia="zh-CN"/>
        </w:rPr>
        <w:t>坝</w:t>
      </w:r>
      <w:r>
        <w:rPr>
          <w:rFonts w:ascii="Times New Roman" w:eastAsia="宋体" w:hAnsi="Times New Roman" w:cs="Times New Roman" w:hint="default"/>
          <w:b w:val="0"/>
          <w:bCs w:val="0"/>
          <w:sz w:val="21"/>
          <w:szCs w:val="21"/>
        </w:rPr>
        <w:t>运行安全一直为水利管理领域所重视，防洪调度、供水灌溉、发电等各项功能的发挥都必须以大坝结构的稳定可靠为前提。伴随着传感技术和物联网技术的不断发展，大坝监测也从传统的依靠人工巡查、单点观测的方式，逐渐转变为依靠自动化、多维度的立体监测模式，GNSS位移监测、光纤渗流监测、无人机倾斜摄影、卫星遥感等手段被广泛使用，形成了种类繁多、数量巨大的多源监测数据集。但是不同的监测手段在数据格式、采样频率和空间基准上存在着较大的差别，单个数据源不能对大坝真实的作业状态做出全面的反映。在此情况下，研究多源监测数据融合处理技术，对消除数据孤岛、提高安全评价的可靠性、推进数字孪生水利建设有很强的实用意义。</w:t>
      </w:r>
    </w:p>
    <w:p w14:paraId="0A38D67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14DA477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2B429C9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水库大坝监测数据来源于各种传感设备和观测手段，可分为变形监测、渗流监测、应力应变监测、环境量监测等几类。库坝监测感知数据具有多源、异</w:t>
      </w:r>
      <w:r>
        <w:rPr>
          <w:rFonts w:ascii="Times New Roman" w:eastAsia="宋体" w:hAnsi="Times New Roman" w:cs="Times New Roman" w:hint="eastAsia"/>
          <w:b w:val="0"/>
          <w:bCs w:val="0"/>
          <w:sz w:val="21"/>
          <w:szCs w:val="21"/>
          <w:lang w:eastAsia="zh-CN"/>
        </w:rPr>
        <w:t>构</w:t>
      </w:r>
      <w:r>
        <w:rPr>
          <w:rFonts w:ascii="Times New Roman" w:eastAsia="宋体" w:hAnsi="Times New Roman" w:cs="Times New Roman" w:hint="default"/>
          <w:b w:val="0"/>
          <w:bCs w:val="0"/>
          <w:sz w:val="21"/>
          <w:szCs w:val="21"/>
        </w:rPr>
        <w:t>、多尺度、海量等特点，需</w:t>
      </w:r>
      <w:r>
        <w:rPr>
          <w:rFonts w:ascii="Times New Roman" w:eastAsia="宋体" w:hAnsi="Times New Roman" w:cs="Times New Roman" w:hint="eastAsia"/>
          <w:b w:val="0"/>
          <w:bCs w:val="0"/>
          <w:sz w:val="21"/>
          <w:szCs w:val="21"/>
          <w:lang w:eastAsia="zh-CN"/>
        </w:rPr>
        <w:t>要</w:t>
      </w:r>
      <w:r>
        <w:rPr>
          <w:rFonts w:ascii="Times New Roman" w:eastAsia="宋体" w:hAnsi="Times New Roman" w:cs="Times New Roman" w:hint="default"/>
          <w:b w:val="0"/>
          <w:bCs w:val="0"/>
          <w:sz w:val="21"/>
          <w:szCs w:val="21"/>
        </w:rPr>
        <w:t>经过标准化处理之后再通过采集终端和传输网络传送到智能监测应用平台集中存储，从而达到多源数据高效传输和整合的目的，为后面分析预警提供基础。</w:t>
      </w:r>
    </w:p>
    <w:p w14:paraId="1BC28A2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eastAsia"/>
          <w:b w:val="0"/>
          <w:bCs w:val="0"/>
          <w:sz w:val="21"/>
          <w:szCs w:val="21"/>
          <w:lang w:val="en-US" w:eastAsia="zh-CN"/>
        </w:rPr>
        <w:t>1</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多源性</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数据来源涉及天基遥感、空基无人机、地基传感器、水基水文、工基监测等各个体系，不同的监测手段各自独立采集，形成了跨系统、跨平台的分散数据格局，数据来源的多样性既丰富了监测维度，也带来了集成层面的技术挑战。</w:t>
      </w:r>
    </w:p>
    <w:p w14:paraId="6A8D08E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eastAsia"/>
          <w:b w:val="0"/>
          <w:bCs w:val="0"/>
          <w:sz w:val="21"/>
          <w:szCs w:val="21"/>
          <w:lang w:val="en-US" w:eastAsia="zh-CN"/>
        </w:rPr>
        <w:t>2</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异构性</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结构化传感器时序数据、半结构化巡检记录和非结构化影像点云数据互相交错，数据格式、编码规则以及语义标准没有统一的标准，各个厂商的设备通信协议也有所不同，因此跨源数据的解析和映射工作要花费大量的适配工作。</w:t>
      </w:r>
    </w:p>
    <w:p w14:paraId="3FEA0DE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eastAsia"/>
          <w:b w:val="0"/>
          <w:bCs w:val="0"/>
          <w:sz w:val="21"/>
          <w:szCs w:val="21"/>
          <w:lang w:val="en-US" w:eastAsia="zh-CN"/>
        </w:rPr>
        <w:t>3</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多尺度性</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时间维度上既有毫秒级的实时采集数据，也有日级乃至年级的周期性观测数据，空间维度上测点分布从坝体表面延伸到内部深层，分辨率和覆盖范围各不相同，跨源数据的时空对齐存在诸多限制。</w:t>
      </w:r>
    </w:p>
    <w:p w14:paraId="23E3341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eastAsia"/>
          <w:b w:val="0"/>
          <w:bCs w:val="0"/>
          <w:sz w:val="21"/>
          <w:szCs w:val="21"/>
          <w:lang w:val="en-US" w:eastAsia="zh-CN"/>
        </w:rPr>
        <w:t>4</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海量性</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随着监测设备密度不断增大、采集频率越来越密，数据产生的速度也越来越快，单个大型水库一年内产生的监测数据量可达TB级，对数据的存储、传输、实时处理能力提出较高的要求</w:t>
      </w:r>
      <w:r>
        <w:rPr>
          <w:rFonts w:ascii="Times New Roman" w:eastAsia="宋体" w:hAnsi="Times New Roman" w:cs="Times New Roman" w:hint="eastAsia"/>
          <w:b w:val="0"/>
          <w:bCs w:val="0"/>
          <w:sz w:val="21"/>
          <w:szCs w:val="21"/>
          <w:vertAlign w:val="superscript"/>
          <w:lang w:val="en-US" w:eastAsia="zh-CN"/>
        </w:rPr>
        <w:t>[1]</w:t>
      </w:r>
      <w:r>
        <w:rPr>
          <w:rFonts w:ascii="Times New Roman" w:eastAsia="宋体" w:hAnsi="Times New Roman" w:cs="Times New Roman" w:hint="default"/>
          <w:b w:val="0"/>
          <w:bCs w:val="0"/>
          <w:sz w:val="21"/>
          <w:szCs w:val="21"/>
        </w:rPr>
        <w:t>。</w:t>
      </w:r>
    </w:p>
    <w:p w14:paraId="14E77C5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4C348B0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1B30E71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bookmarkStart w:id="0" w:name="_GoBack"/>
      <w:r>
        <w:rPr>
          <w:rFonts w:ascii="Times New Roman" w:eastAsia="宋体" w:hAnsi="Times New Roman" w:cs="Times New Roman" w:hint="default"/>
          <w:b w:val="0"/>
          <w:bCs w:val="0"/>
          <w:sz w:val="21"/>
          <w:szCs w:val="21"/>
        </w:rPr>
        <w:t>（二）融合处理方案设计</w:t>
      </w:r>
    </w:p>
    <w:bookmarkEnd w:id="0"/>
    <w:p w14:paraId="1297CF3B">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根据该工程监测体系现状及数据特点，融合处理方案采用统一基准、</w:t>
      </w:r>
      <w:r>
        <w:rPr>
          <w:rFonts w:ascii="Times New Roman" w:eastAsia="宋体" w:hAnsi="Times New Roman" w:cs="Times New Roman" w:hint="eastAsia"/>
          <w:b w:val="0"/>
          <w:bCs w:val="0"/>
          <w:sz w:val="21"/>
          <w:szCs w:val="21"/>
          <w:lang w:eastAsia="zh-CN"/>
        </w:rPr>
        <w:t>质量</w:t>
      </w:r>
      <w:r>
        <w:rPr>
          <w:rFonts w:ascii="Times New Roman" w:eastAsia="宋体" w:hAnsi="Times New Roman" w:cs="Times New Roman" w:hint="default"/>
          <w:b w:val="0"/>
          <w:bCs w:val="0"/>
          <w:sz w:val="21"/>
          <w:szCs w:val="21"/>
        </w:rPr>
        <w:t>控制、分层融合、综合输出的思路来设计各个阶段</w:t>
      </w:r>
      <w:r>
        <w:rPr>
          <w:rFonts w:ascii="Times New Roman" w:eastAsia="宋体" w:hAnsi="Times New Roman" w:cs="Times New Roman" w:hint="eastAsia"/>
          <w:b w:val="0"/>
          <w:bCs w:val="0"/>
          <w:sz w:val="21"/>
          <w:szCs w:val="21"/>
          <w:lang w:eastAsia="zh-CN"/>
        </w:rPr>
        <w:t>的</w:t>
      </w:r>
      <w:r>
        <w:rPr>
          <w:rFonts w:ascii="Times New Roman" w:eastAsia="宋体" w:hAnsi="Times New Roman" w:cs="Times New Roman" w:hint="default"/>
          <w:b w:val="0"/>
          <w:bCs w:val="0"/>
          <w:sz w:val="21"/>
          <w:szCs w:val="21"/>
        </w:rPr>
        <w:t>处理环节，各个阶段之间互相衔接，形成一个完整的处理链条。</w:t>
      </w:r>
    </w:p>
    <w:p w14:paraId="7A0DDCDA">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（1）数据标准化与时空配准：</w:t>
      </w:r>
      <w:r>
        <w:rPr>
          <w:rFonts w:ascii="Times New Roman" w:eastAsia="宋体" w:hAnsi="Times New Roman" w:cs="Times New Roman" w:hint="default"/>
          <w:b w:val="0"/>
          <w:bCs w:val="0"/>
          <w:sz w:val="21"/>
          <w:szCs w:val="21"/>
        </w:rPr>
        <w:t>创建兼容Modbus、OPC-UA等协议的数据接入网关，对自动化监测数据实施即时解析，把人工观测数据和无人机影像数据纳入到统一的元数据管理体系当中，经由时间戳对齐以及坐标转换来达成多源数据的时空基准统一。</w:t>
      </w:r>
    </w:p>
    <w:p w14:paraId="387C01E5">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（2）数据质量评估与异常修复：</w:t>
      </w:r>
      <w:r>
        <w:rPr>
          <w:rFonts w:ascii="Times New Roman" w:eastAsia="宋体" w:hAnsi="Times New Roman" w:cs="Times New Roman" w:hint="default"/>
          <w:b w:val="0"/>
          <w:bCs w:val="0"/>
          <w:sz w:val="21"/>
          <w:szCs w:val="21"/>
        </w:rPr>
        <w:t>用3σ准则和箱线图法联合识别时序异常，根据相邻测点的空间相关性区分设备噪声和真实异常，对短时缺失数据用样条插值修复，对较长时段的缺失用LSTM时序预测模型估算，以大坝物理运行规律为约束检验修复结果的合理性</w:t>
      </w:r>
      <w:r>
        <w:rPr>
          <w:rFonts w:ascii="Times New Roman" w:eastAsia="宋体" w:hAnsi="Times New Roman" w:cs="Times New Roman" w:hint="eastAsia"/>
          <w:b w:val="0"/>
          <w:bCs w:val="0"/>
          <w:sz w:val="21"/>
          <w:szCs w:val="21"/>
          <w:vertAlign w:val="superscript"/>
          <w:lang w:val="en-US" w:eastAsia="zh-CN"/>
        </w:rPr>
        <w:t>[4]</w:t>
      </w:r>
      <w:r>
        <w:rPr>
          <w:rFonts w:ascii="Times New Roman" w:eastAsia="宋体" w:hAnsi="Times New Roman" w:cs="Times New Roman" w:hint="default"/>
          <w:b w:val="0"/>
          <w:bCs w:val="0"/>
          <w:sz w:val="21"/>
          <w:szCs w:val="21"/>
        </w:rPr>
        <w:t>。</w:t>
      </w:r>
    </w:p>
    <w:p w14:paraId="25DF7188">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（3）分层融合算法配置：</w:t>
      </w:r>
      <w:r>
        <w:rPr>
          <w:rFonts w:ascii="Times New Roman" w:eastAsia="宋体" w:hAnsi="Times New Roman" w:cs="Times New Roman" w:hint="default"/>
          <w:b w:val="0"/>
          <w:bCs w:val="0"/>
          <w:sz w:val="21"/>
          <w:szCs w:val="21"/>
        </w:rPr>
        <w:t>在完成同源数据的配准整合之后，在特征层提取位移速率、渗压变幅、温度梯度等重要特征，用Bi-LSTM网络实现跨源特征融合，在决策层将变形、渗流、环境影响三个子模型的输出加权融合，融合公式可以表示为：</w:t>
      </w:r>
    </w:p>
    <w:p w14:paraId="04BEFF8B">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outlineLvl w:val="9"/>
        <w:rPr>
          <w:rFonts w:ascii="Times New Roman" w:eastAsia="宋体" w:hAnsi="Times New Roman" w:cs="Times New Roman" w:hint="default"/>
          <w:b w:val="0"/>
          <w:bCs w:val="0"/>
          <w:i w:val="0"/>
          <w:sz w:val="21"/>
          <w:szCs w:val="21"/>
        </w:rPr>
      </w:pPr>
      <m:oMathPara>
        <m:oMath>
          <m:r>
            <m:rPr>
              <m:nor/>
            </m:rPr>
            <w:rPr>
              <w:rFonts w:ascii="Times New Roman" w:eastAsia="宋体" w:hAnsi="Times New Roman" w:cs="Times New Roman" w:hint="default"/>
              <w:b w:val="0"/>
              <w:bCs w:val="0"/>
              <w:i/>
              <w:sz w:val="21"/>
              <w:szCs w:val="21"/>
            </w:rPr>
            <m:t>F</m:t>
          </m:r>
          <m:r>
            <m:rPr>
              <m:nor/>
              <m:sty m:val="p"/>
            </m:rPr>
            <w:rPr>
              <w:rFonts w:ascii="Times New Roman" w:eastAsia="宋体" w:hAnsi="Times New Roman" w:cs="Times New Roman" w:hint="default"/>
              <w:b w:val="0"/>
              <w:bCs w:val="0"/>
              <w:i w:val="0"/>
              <w:sz w:val="21"/>
              <w:szCs w:val="21"/>
            </w:rPr>
            <m:t>=</m:t>
          </m:r>
          <m:f>
            <m:fPr>
              <m:ctrlPr>
                <w:rPr>
                  <w:rFonts w:ascii="Cambria Math" w:eastAsia="宋体" w:hAnsi="Cambria Math" w:cs="Times New Roman" w:hint="default"/>
                  <w:b w:val="0"/>
                  <w:bCs w:val="0"/>
                  <w:sz w:val="21"/>
                  <w:szCs w:val="21"/>
                </w:rPr>
              </m:ctrlPr>
            </m:fPr>
            <m:num>
              <m:ctrlPr>
                <w:rPr>
                  <w:rFonts w:ascii="Cambria Math" w:eastAsia="宋体" w:hAnsi="Cambria Math" w:cs="Times New Roman" w:hint="default"/>
                  <w:b w:val="0"/>
                  <w:bCs w:val="0"/>
                  <w:sz w:val="21"/>
                  <w:szCs w:val="21"/>
                </w:rPr>
              </m:ctrlPr>
              <m:nary>
                <m:naryPr>
                  <m:chr m:val="∑"/>
                  <m:limLoc m:val="subSup"/>
                  <m:ctrlPr>
                    <w:rPr>
                      <w:rFonts w:ascii="Cambria Math" w:eastAsia="宋体" w:hAnsi="Cambria Math" w:cs="Times New Roman" w:hint="default"/>
                      <w:b w:val="0"/>
                      <w:bCs w:val="0"/>
                      <w:sz w:val="21"/>
                      <w:szCs w:val="21"/>
                    </w:rPr>
                  </m:ctrlPr>
                </m:naryPr>
                <m:sub>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i</m:t>
                  </m:r>
                  <m:r>
                    <m:rPr>
                      <m:nor/>
                      <m:sty m:val="p"/>
                    </m:rPr>
                    <w:rPr>
                      <w:rFonts w:ascii="Times New Roman" w:eastAsia="宋体" w:hAnsi="Times New Roman" w:cs="Times New Roman" w:hint="default"/>
                      <w:b w:val="0"/>
                      <w:bCs w:val="0"/>
                      <w:i w:val="0"/>
                      <w:sz w:val="21"/>
                      <w:szCs w:val="21"/>
                    </w:rPr>
                    <m:t>=1</m:t>
                  </m:r>
                </m:sub>
                <m:sup>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n</m:t>
                  </m:r>
                </m:sup>
                <m:e>
                  <m:ctrlPr>
                    <w:rPr>
                      <w:rFonts w:ascii="Cambria Math" w:eastAsia="宋体" w:hAnsi="Cambria Math" w:cs="Times New Roman" w:hint="default"/>
                      <w:b w:val="0"/>
                      <w:bCs w:val="0"/>
                      <w:sz w:val="21"/>
                      <w:szCs w:val="21"/>
                    </w:rPr>
                  </m:ctrlPr>
                  <m:sSub>
                    <m:sSubPr>
                      <m:ctrlPr>
                        <w:rPr>
                          <w:rFonts w:ascii="Cambria Math" w:eastAsia="宋体" w:hAnsi="Cambria Math" w:cs="Times New Roman" w:hint="default"/>
                          <w:b w:val="0"/>
                          <w:bCs w:val="0"/>
                          <w:sz w:val="21"/>
                          <w:szCs w:val="21"/>
                        </w:rPr>
                      </m:ctrlPr>
                    </m:sSubPr>
                    <m:e>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w</m:t>
                      </m:r>
                    </m:e>
                    <m:sub>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i</m:t>
                      </m:r>
                    </m:sub>
                  </m:sSub>
                </m:e>
              </m:nary>
              <m:r>
                <m:rPr>
                  <m:nor/>
                  <m:sty m:val="p"/>
                </m:rPr>
                <w:rPr>
                  <w:rFonts w:ascii="Times New Roman" w:eastAsia="宋体" w:hAnsi="Times New Roman" w:cs="Times New Roman" w:hint="default"/>
                  <w:b w:val="0"/>
                  <w:bCs w:val="0"/>
                  <w:i w:val="0"/>
                  <w:sz w:val="21"/>
                  <w:szCs w:val="21"/>
                </w:rPr>
                <m:t>⋅</m:t>
              </m:r>
              <m:sSub>
                <m:sSubPr>
                  <m:ctrlPr>
                    <w:rPr>
                      <w:rFonts w:ascii="Cambria Math" w:eastAsia="宋体" w:hAnsi="Cambria Math" w:cs="Times New Roman" w:hint="default"/>
                      <w:b w:val="0"/>
                      <w:bCs w:val="0"/>
                      <w:sz w:val="21"/>
                      <w:szCs w:val="21"/>
                    </w:rPr>
                  </m:ctrlPr>
                </m:sSubPr>
                <m:e>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f</m:t>
                  </m:r>
                </m:e>
                <m:sub>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i</m:t>
                  </m:r>
                </m:sub>
              </m:sSub>
            </m:num>
            <m:den>
              <m:ctrlPr>
                <w:rPr>
                  <w:rFonts w:ascii="Cambria Math" w:eastAsia="宋体" w:hAnsi="Cambria Math" w:cs="Times New Roman" w:hint="default"/>
                  <w:b w:val="0"/>
                  <w:bCs w:val="0"/>
                  <w:sz w:val="21"/>
                  <w:szCs w:val="21"/>
                </w:rPr>
              </m:ctrlPr>
              <m:nary>
                <m:naryPr>
                  <m:chr m:val="∑"/>
                  <m:limLoc m:val="subSup"/>
                  <m:ctrlPr>
                    <w:rPr>
                      <w:rFonts w:ascii="Cambria Math" w:eastAsia="宋体" w:hAnsi="Cambria Math" w:cs="Times New Roman" w:hint="default"/>
                      <w:b w:val="0"/>
                      <w:bCs w:val="0"/>
                      <w:sz w:val="21"/>
                      <w:szCs w:val="21"/>
                    </w:rPr>
                  </m:ctrlPr>
                </m:naryPr>
                <m:sub>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i</m:t>
                  </m:r>
                  <m:r>
                    <m:rPr>
                      <m:nor/>
                      <m:sty m:val="p"/>
                    </m:rPr>
                    <w:rPr>
                      <w:rFonts w:ascii="Times New Roman" w:eastAsia="宋体" w:hAnsi="Times New Roman" w:cs="Times New Roman" w:hint="default"/>
                      <w:b w:val="0"/>
                      <w:bCs w:val="0"/>
                      <w:i w:val="0"/>
                      <w:sz w:val="21"/>
                      <w:szCs w:val="21"/>
                    </w:rPr>
                    <m:t>=1</m:t>
                  </m:r>
                </m:sub>
                <m:sup>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n</m:t>
                  </m:r>
                </m:sup>
                <m:e>
                  <m:ctrlPr>
                    <w:rPr>
                      <w:rFonts w:ascii="Cambria Math" w:eastAsia="宋体" w:hAnsi="Cambria Math" w:cs="Times New Roman" w:hint="default"/>
                      <w:b w:val="0"/>
                      <w:bCs w:val="0"/>
                      <w:sz w:val="21"/>
                      <w:szCs w:val="21"/>
                    </w:rPr>
                  </m:ctrlPr>
                  <m:sSub>
                    <m:sSubPr>
                      <m:ctrlPr>
                        <w:rPr>
                          <w:rFonts w:ascii="Cambria Math" w:eastAsia="宋体" w:hAnsi="Cambria Math" w:cs="Times New Roman" w:hint="default"/>
                          <w:b w:val="0"/>
                          <w:bCs w:val="0"/>
                          <w:sz w:val="21"/>
                          <w:szCs w:val="21"/>
                        </w:rPr>
                      </m:ctrlPr>
                    </m:sSubPr>
                    <m:e>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w</m:t>
                      </m:r>
                    </m:e>
                    <m:sub>
                      <m:ctrlPr>
                        <w:rPr>
                          <w:rFonts w:ascii="Cambria Math" w:eastAsia="宋体" w:hAnsi="Cambria Math" w:cs="Times New Roman" w:hint="default"/>
                          <w:b w:val="0"/>
                          <w:bCs w:val="0"/>
                          <w:sz w:val="21"/>
                          <w:szCs w:val="21"/>
                        </w:rPr>
                      </m:ctrlPr>
                      <m:r>
                        <m:rPr>
                          <m:nor/>
                        </m:rPr>
                        <w:rPr>
                          <w:rFonts w:ascii="Times New Roman" w:eastAsia="宋体" w:hAnsi="Times New Roman" w:cs="Times New Roman" w:hint="default"/>
                          <w:b w:val="0"/>
                          <w:bCs w:val="0"/>
                          <w:i/>
                          <w:sz w:val="21"/>
                          <w:szCs w:val="21"/>
                        </w:rPr>
                        <m:t>i</m:t>
                      </m:r>
                    </m:sub>
                  </m:sSub>
                </m:e>
              </m:nary>
            </m:den>
          </m:f>
        </m:oMath>
      </m:oMathPara>
    </w:p>
    <w:p w14:paraId="1A33B929">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融合后的综合评价值F，用公式来计算，其中wᵢ是第i个子模型的权重系数，fᵢ是第i个子模型的独立评价结果，n为参与融合的子模型数量，权重系数是根据各个子模型的历史预测精度和数据置信度来动态调整的。</w:t>
      </w:r>
    </w:p>
    <w:p w14:paraId="7600A74B">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（4）安全评估与预警输出：</w:t>
      </w:r>
      <w:r>
        <w:rPr>
          <w:rFonts w:ascii="Times New Roman" w:eastAsia="宋体" w:hAnsi="Times New Roman" w:cs="Times New Roman" w:hint="default"/>
          <w:b w:val="0"/>
          <w:bCs w:val="0"/>
          <w:sz w:val="21"/>
          <w:szCs w:val="21"/>
        </w:rPr>
        <w:t>根据融合结果把大坝安全状态分为正常、注意、异常、险情四个等级，利用监测数据的实时更新来实现状态的动态评价，用分级阈值触发相应的预警信息推送。</w:t>
      </w:r>
    </w:p>
    <w:p w14:paraId="483BB88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（三）应用效果分析</w:t>
      </w:r>
    </w:p>
    <w:p w14:paraId="211EC97C">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多源数据融合处理方案在该工程实际运行中取得较好的应用效果，数据质量及评估精度都有所提高。一方面融合处理后的数据完整率由原来的89.2%提高到现在的97.6%，异常值误判率降低了大约12个百分点，时空配准后的多源数据在关键工况节点上的一致性明显提高，给大坝运行状态的综合研判提供更加可靠的数据支持；另一</w:t>
      </w:r>
      <w:r>
        <w:rPr>
          <w:rFonts w:ascii="Times New Roman" w:eastAsia="宋体" w:hAnsi="Times New Roman" w:cs="Times New Roman" w:hint="eastAsia"/>
          <w:b w:val="0"/>
          <w:bCs w:val="0"/>
          <w:sz w:val="21"/>
          <w:szCs w:val="21"/>
          <w:lang w:eastAsia="zh-CN"/>
        </w:rPr>
        <w:t>方</w:t>
      </w:r>
      <w:r>
        <w:rPr>
          <w:rFonts w:ascii="Times New Roman" w:eastAsia="宋体" w:hAnsi="Times New Roman" w:cs="Times New Roman" w:hint="default"/>
          <w:b w:val="0"/>
          <w:bCs w:val="0"/>
          <w:sz w:val="21"/>
          <w:szCs w:val="21"/>
        </w:rPr>
        <w:t>面以分层融合结果为依据的安全评估模型对于坝体异常的识别提前量比单一模型平均高出约6小时，评估结论和现场巡检结果的吻合度大于94%，降低了漏报、误报发生的概率，在高水位运行期风险预警方面起到了积极的作用。</w:t>
      </w:r>
    </w:p>
    <w:p w14:paraId="3BA3BACD">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224C0F35">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S Mincho">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83A448F"/>
    <w:rsid w:val="0E7D6D90"/>
    <w:rsid w:val="3E07157C"/>
    <w:rsid w:val="41FB41EC"/>
    <w:rsid w:val="47C87B80"/>
    <w:rsid w:val="4B0D6DD4"/>
    <w:rsid w:val="6F6F69B0"/>
    <w:rsid w:val="78D04F97"/>
    <w:rsid w:val="7C6A0C2B"/>
    <w:rsid w:val="7FE16C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e26762c5-8ec1-4e45-83ca-6a2fc3f9aba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Resurgam</cp:lastModifiedBy>
  <cp:revision>0</cp:revision>
  <dcterms:created xsi:type="dcterms:W3CDTF">2026-09-07T01:25:27Z</dcterms:created>
  <dcterms:modified xsi:type="dcterms:W3CDTF">2026-09-07T03:14:24Z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6BFD609AA9AF4263948587062CA002BF_13</vt:lpwstr>
  </property>
  <property fmtid="{D5CDD505-2E9C-101B-9397-08002B2CF9AE}" pid="3" name="KSOProductBuildVer">
    <vt:lpwstr>2052-12.1.0.28505</vt:lpwstr>
  </property>
  <property fmtid="{D5CDD505-2E9C-101B-9397-08002B2CF9AE}" pid="4" name="KSOTemplateDocerSaveRecord">
    <vt:lpwstr>eyJoZGlkIjoiYTk3YmY3NWQ0YmNmZGVmMTdjYzMzOTgyZjgzMDQwZTkiLCJ1c2VySWQiOiIyNDYyMTY4NzMifQ==</vt:lpwstr>
  </property>
</Properties>
</file>