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179FDA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0" w:firstLineChars="0"/>
        <w:jc w:val="center"/>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关于风光火储一体化运行的耦合研究</w:t>
      </w:r>
    </w:p>
    <w:p w14:paraId="578CE9A3">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5E5905C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摘要</w:t>
      </w:r>
      <w:r>
        <w:rPr>
          <w:rFonts w:ascii="Times New Roman" w:eastAsia="宋体" w:hAnsi="Times New Roman" w:cs="Times New Roman" w:hint="default"/>
          <w:b w:val="0"/>
          <w:bCs w:val="0"/>
          <w:sz w:val="21"/>
          <w:szCs w:val="21"/>
          <w:lang w:eastAsia="zh-CN"/>
        </w:rPr>
        <w:t>：</w:t>
      </w:r>
      <w:r>
        <w:rPr>
          <w:rFonts w:ascii="Times New Roman" w:eastAsia="宋体" w:hAnsi="Times New Roman" w:cs="Times New Roman" w:hint="default"/>
          <w:b w:val="0"/>
          <w:bCs w:val="0"/>
          <w:sz w:val="21"/>
          <w:szCs w:val="21"/>
        </w:rPr>
        <w:t>能源转型过程中波动性新能源占比提高所造成的大规模系统平衡压力，成了新型电力系统创建急需解决的主要问题。本文以风光火储一体化运行的耦合关系为研究对象，对风光互补、源荷互动、火储协同这三个耦合机理进行分析，整理出力波动协调、并网消纳、调度机制、利益分配这四个存在的问题，并提出协同调度、一体控制、市场引导、共享分配的调控策略体系，以期为多能互补系统高效稳定运行提供可行的技术路径和制度借鉴。</w:t>
      </w:r>
    </w:p>
    <w:p w14:paraId="57695BF3">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Style w:val="Strong"/>
          <w:rFonts w:ascii="Times New Roman" w:eastAsia="宋体" w:hAnsi="Times New Roman" w:cs="Times New Roman" w:hint="default"/>
          <w:b w:val="0"/>
          <w:bCs w:val="0"/>
          <w:sz w:val="21"/>
          <w:szCs w:val="21"/>
        </w:rPr>
        <w:t>关键词：</w:t>
      </w:r>
      <w:r>
        <w:rPr>
          <w:rFonts w:ascii="Times New Roman" w:eastAsia="宋体" w:hAnsi="Times New Roman" w:cs="Times New Roman" w:hint="default"/>
          <w:b w:val="0"/>
          <w:bCs w:val="0"/>
          <w:sz w:val="21"/>
          <w:szCs w:val="21"/>
        </w:rPr>
        <w:t>风光火储一体化；耦合机理；协同调度</w:t>
      </w:r>
    </w:p>
    <w:p w14:paraId="0E3B1A55">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Style w:val="Strong"/>
          <w:rFonts w:ascii="Times New Roman" w:eastAsia="宋体" w:hAnsi="Times New Roman" w:cs="Times New Roman" w:hint="default"/>
          <w:b w:val="0"/>
          <w:bCs w:val="0"/>
          <w:sz w:val="21"/>
          <w:szCs w:val="21"/>
        </w:rPr>
      </w:pPr>
    </w:p>
    <w:p w14:paraId="585A5664">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Style w:val="Strong"/>
          <w:rFonts w:ascii="Times New Roman" w:eastAsia="宋体" w:hAnsi="Times New Roman" w:cs="Times New Roman" w:hint="default"/>
          <w:b w:val="0"/>
          <w:bCs w:val="0"/>
          <w:sz w:val="21"/>
          <w:szCs w:val="21"/>
        </w:rPr>
        <w:t>到202</w:t>
      </w:r>
      <w:r>
        <w:rPr>
          <w:rFonts w:ascii="Times New Roman" w:eastAsia="宋体" w:hAnsi="Times New Roman" w:cs="Times New Roman" w:hint="default"/>
          <w:b w:val="0"/>
          <w:bCs w:val="0"/>
          <w:sz w:val="21"/>
          <w:szCs w:val="21"/>
        </w:rPr>
        <w:t>5年底全国风电装机容量达到6.4亿千瓦，太阳能发电装机容量达到12.0亿千瓦，两者合计为18.4亿千瓦，已经超过了火电装机规模，新能源成为电力增量主体的格局基本形成。但是由于风光出力固有的间歇性和随机性，使得2025年全国风电利用率降到94.3%，光伏利用率降到94.8%，分别比2024年下降了1.6和2.0个百分点，在“沙戈荒”基</w:t>
      </w:r>
      <w:r>
        <w:rPr>
          <w:rFonts w:ascii="Times New Roman" w:eastAsia="宋体" w:hAnsi="Times New Roman" w:cs="Times New Roman" w:hint="eastAsia"/>
          <w:b w:val="0"/>
          <w:bCs w:val="0"/>
          <w:sz w:val="21"/>
          <w:szCs w:val="21"/>
          <w:lang w:eastAsia="zh-CN"/>
        </w:rPr>
        <w:t>地</w:t>
      </w:r>
      <w:r>
        <w:rPr>
          <w:rFonts w:ascii="Times New Roman" w:eastAsia="宋体" w:hAnsi="Times New Roman" w:cs="Times New Roman" w:hint="default"/>
          <w:b w:val="0"/>
          <w:bCs w:val="0"/>
          <w:sz w:val="21"/>
          <w:szCs w:val="21"/>
        </w:rPr>
        <w:t>消纳压</w:t>
      </w:r>
      <w:r>
        <w:rPr>
          <w:rFonts w:ascii="Times New Roman" w:eastAsia="宋体" w:hAnsi="Times New Roman" w:cs="Times New Roman" w:hint="eastAsia"/>
          <w:b w:val="0"/>
          <w:bCs w:val="0"/>
          <w:sz w:val="21"/>
          <w:szCs w:val="21"/>
          <w:lang w:eastAsia="zh-CN"/>
        </w:rPr>
        <w:t>力</w:t>
      </w:r>
      <w:r>
        <w:rPr>
          <w:rFonts w:ascii="Times New Roman" w:eastAsia="宋体" w:hAnsi="Times New Roman" w:cs="Times New Roman" w:hint="default"/>
          <w:b w:val="0"/>
          <w:bCs w:val="0"/>
          <w:sz w:val="21"/>
          <w:szCs w:val="21"/>
        </w:rPr>
        <w:t>更大。风光火储一体化依靠多能源的时空互补和协同调度，给破解新能源消纳瓶颈、加强系统调节能力赋予了可行途径，对它的耦合机理和调控策略展开系统研究有着十分重要的工程应用意义。</w:t>
      </w:r>
    </w:p>
    <w:p w14:paraId="634FA3D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1风光火储一体化运行的耦合机理</w:t>
      </w:r>
    </w:p>
    <w:p w14:paraId="044811C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1.1风光互补的时空耦合机理</w:t>
      </w:r>
    </w:p>
    <w:p w14:paraId="10EE2BD0">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风电和光伏在时间上存在昼夜交替、季节错位的天然互补性，在白天光伏出力峰值与午间负荷高峰相吻合，夜间风电起基础供电作用，空间上不同气象带资源分布的差别又加大了互补效果。时空耦合不是简单的出力叠加，是依靠风光出力曲线的相位差来减小合成功率波动幅值，使等效出力曲线趋于平缓</w:t>
      </w:r>
      <w:r>
        <w:rPr>
          <w:rFonts w:ascii="Times New Roman" w:eastAsia="宋体" w:hAnsi="Times New Roman" w:cs="Times New Roman" w:hint="eastAsia"/>
          <w:b w:val="0"/>
          <w:bCs w:val="0"/>
          <w:sz w:val="21"/>
          <w:szCs w:val="21"/>
          <w:vertAlign w:val="superscript"/>
          <w:lang w:val="en-US" w:eastAsia="zh-CN"/>
        </w:rPr>
        <w:t>[1]</w:t>
      </w:r>
      <w:r>
        <w:rPr>
          <w:rFonts w:ascii="Times New Roman" w:eastAsia="宋体" w:hAnsi="Times New Roman" w:cs="Times New Roman" w:hint="default"/>
          <w:b w:val="0"/>
          <w:bCs w:val="0"/>
          <w:sz w:val="21"/>
          <w:szCs w:val="21"/>
        </w:rPr>
        <w:t>。以内蒙古华电腾格里清洁能源外送基地为例，总装机容量为1620万千瓦，光伏800万千瓦、风电400万千瓦、配套煤电400万千瓦和光热20万千瓦，全部投产后年发电量达到240亿千瓦时，依靠腾格里沙漠光伏和周边风电空间上的组合来达到昼夜、季节的互补，证明了时空耦合对平滑波动的实际效果。</w:t>
      </w:r>
    </w:p>
    <w:p w14:paraId="5CD25EC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1.2源荷互动的动态耦合机理</w:t>
      </w:r>
    </w:p>
    <w:p w14:paraId="3AAA9F8B">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源荷互动就是电源侧出力和负荷侧需求在时间序列上实时匹配和响应的过程，本质上就是利用需求侧弹性资源来吸收新能源出力的波动余量。工业可中断负荷、电动汽车有序充电、楼宇空调群控等柔性负荷，在分钟级到小时级的时间尺度上可以改变用电行为，和风光出力存在动态跟随的关系。当新能源大发时段负荷主动提高、新能源低谷时段负荷相应减少的时候，源荷之间的耦合就由被动平衡变成主动协同。动态耦合降低了火电调峰容量的依赖程度，提高了新能源就地消纳水平，是一体化系统里连接供给和需求的重要纽带。</w:t>
      </w:r>
    </w:p>
    <w:p w14:paraId="4440F8F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1.3火储协同的优化耦合机理</w:t>
      </w:r>
    </w:p>
    <w:p w14:paraId="0821DB03">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火电和储能的协同耦合表现在调节速率和调节容量的互补上，火电具有兆瓦级到百兆瓦级的持续调节能力但是爬坡速率受限制，一般每分钟只能调整额定容量的1</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2%，而电化学储能可以在毫秒级内完成全功率响应但是受限于容量大小。两者结合之后，储能做高频小幅度波动的平抑工作，火电做低频大偏差的修正工作，</w:t>
      </w:r>
      <w:r>
        <w:rPr>
          <w:rFonts w:ascii="Times New Roman" w:eastAsia="宋体" w:hAnsi="Times New Roman" w:cs="Times New Roman" w:hint="eastAsia"/>
          <w:b w:val="0"/>
          <w:bCs w:val="0"/>
          <w:sz w:val="21"/>
          <w:szCs w:val="21"/>
          <w:lang w:eastAsia="zh-CN"/>
        </w:rPr>
        <w:t>形</w:t>
      </w:r>
      <w:r>
        <w:rPr>
          <w:rFonts w:ascii="Times New Roman" w:eastAsia="宋体" w:hAnsi="Times New Roman" w:cs="Times New Roman" w:hint="default"/>
          <w:b w:val="0"/>
          <w:bCs w:val="0"/>
          <w:sz w:val="21"/>
          <w:szCs w:val="21"/>
        </w:rPr>
        <w:t>成快调储、慢调火的</w:t>
      </w:r>
      <w:r>
        <w:rPr>
          <w:rFonts w:ascii="Times New Roman" w:eastAsia="宋体" w:hAnsi="Times New Roman" w:cs="Times New Roman" w:hint="eastAsia"/>
          <w:b w:val="0"/>
          <w:bCs w:val="0"/>
          <w:sz w:val="21"/>
          <w:szCs w:val="21"/>
          <w:lang w:eastAsia="zh-CN"/>
        </w:rPr>
        <w:t>分</w:t>
      </w:r>
      <w:r>
        <w:rPr>
          <w:rFonts w:ascii="Times New Roman" w:eastAsia="宋体" w:hAnsi="Times New Roman" w:cs="Times New Roman" w:hint="default"/>
          <w:b w:val="0"/>
          <w:bCs w:val="0"/>
          <w:sz w:val="21"/>
          <w:szCs w:val="21"/>
        </w:rPr>
        <w:t>层调节结构。储能荷电状态的变化同火电出力计划存在着很强的耦合关系，储能充放电策略直接决定着火电的启停计划和燃料消耗，经由联合优化可以缩减系统的综合运行成本，并且还能延长储能设备的有效服役时间</w:t>
      </w:r>
      <w:r>
        <w:rPr>
          <w:rFonts w:ascii="Times New Roman" w:eastAsia="宋体" w:hAnsi="Times New Roman" w:cs="Times New Roman" w:hint="eastAsia"/>
          <w:b w:val="0"/>
          <w:bCs w:val="0"/>
          <w:sz w:val="21"/>
          <w:szCs w:val="21"/>
          <w:vertAlign w:val="superscript"/>
          <w:lang w:val="en-US" w:eastAsia="zh-CN"/>
        </w:rPr>
        <w:t>[2]</w:t>
      </w:r>
      <w:r>
        <w:rPr>
          <w:rFonts w:ascii="Times New Roman" w:eastAsia="宋体" w:hAnsi="Times New Roman" w:cs="Times New Roman" w:hint="default"/>
          <w:b w:val="0"/>
          <w:bCs w:val="0"/>
          <w:sz w:val="21"/>
          <w:szCs w:val="21"/>
        </w:rPr>
        <w:t>。</w:t>
      </w:r>
    </w:p>
    <w:p w14:paraId="67B2F7A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2风光火储一体化运行的现存问题</w:t>
      </w:r>
    </w:p>
    <w:p w14:paraId="0E7F083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2.1出力波动带来的协调难题</w:t>
      </w:r>
    </w:p>
    <w:p w14:paraId="5D2677F4">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风光出力的波动有多个时间尺度叠加的特点，秒级的阵风扰动、分钟级的云层遮挡和小时级的天气系统变化一起存在，造成合成功率曲线是不规则的、非平稳的复杂形状。这样的波动给协调控制提出了很高的要求，火电爬坡速率和储能响应速度存在量级上的差别，当风光出力短时间内发生大幅上升或者急剧下降的时候，火电由于爬坡受限而不能及时跟上，储能又因为SOC越限而丧失调节功能。以新疆某风光基地极端天气为例，在10分钟内出力波动达到装机容量40%以上的情况也时有发生，常规的协调策略很难在这么短的时间内完成功率的再分配，从而造成系统频率偏差超限，暴露出多时间尺度波动协调机制的缺陷。</w:t>
      </w:r>
    </w:p>
    <w:p w14:paraId="361A13A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2.2并网消纳面临的瓶颈制约</w:t>
      </w:r>
    </w:p>
    <w:p w14:paraId="21A8BE9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kern w:val="0"/>
          <w:sz w:val="21"/>
          <w:szCs w:val="21"/>
          <w:lang w:val="en-US" w:eastAsia="zh-CN" w:bidi="ar"/>
        </w:rPr>
      </w:pPr>
      <w:r>
        <w:rPr>
          <w:rFonts w:ascii="Times New Roman" w:eastAsia="宋体" w:hAnsi="Times New Roman" w:cs="Times New Roman" w:hint="default"/>
          <w:b w:val="0"/>
          <w:bCs w:val="0"/>
          <w:kern w:val="0"/>
          <w:sz w:val="21"/>
          <w:szCs w:val="21"/>
          <w:lang w:val="en-US" w:eastAsia="zh-CN" w:bidi="ar"/>
        </w:rPr>
        <w:t>由于新能源富集地区和负荷中心的地理空间错位分布，造成外送通道的传输容量成为影响消纳的硬性瓶颈，沙戈荒大型基地的电力要通过几百甚至上千公里的特高压线路输送到中东部负荷中心，通道利用率同新能源出力特性之间的矛盾比较明显。当新能源大发时段外送通道满载，而本地负荷不能吸收多余的电量的时候，弃风弃光就不可避免。2024年新疆弃风率为8.7%，甘肃弃风率为7.9%，两省合计占全国弃风电量的58%左右，消纳压力主要集中在西北资源富集区。另外电网侧的惯量支撑能力、短路容量随着新能源占比的提高而降低，从而限制了新能源的并网规模，形成了</w:t>
      </w:r>
      <w:r>
        <w:rPr>
          <w:rFonts w:ascii="Times New Roman" w:eastAsia="宋体" w:hAnsi="Times New Roman" w:cs="Times New Roman" w:hint="eastAsia"/>
          <w:b w:val="0"/>
          <w:bCs w:val="0"/>
          <w:kern w:val="0"/>
          <w:sz w:val="21"/>
          <w:szCs w:val="21"/>
          <w:lang w:val="en-US" w:eastAsia="zh-CN" w:bidi="ar"/>
        </w:rPr>
        <w:t>“</w:t>
      </w:r>
      <w:r>
        <w:rPr>
          <w:rFonts w:ascii="Times New Roman" w:eastAsia="宋体" w:hAnsi="Times New Roman" w:cs="Times New Roman" w:hint="default"/>
          <w:b w:val="0"/>
          <w:bCs w:val="0"/>
          <w:kern w:val="0"/>
          <w:sz w:val="21"/>
          <w:szCs w:val="21"/>
          <w:lang w:val="en-US" w:eastAsia="zh-CN" w:bidi="ar"/>
        </w:rPr>
        <w:t>想送送不出、想并并不上</w:t>
      </w:r>
      <w:r>
        <w:rPr>
          <w:rFonts w:ascii="Times New Roman" w:eastAsia="宋体" w:hAnsi="Times New Roman" w:cs="Times New Roman" w:hint="eastAsia"/>
          <w:b w:val="0"/>
          <w:bCs w:val="0"/>
          <w:kern w:val="0"/>
          <w:sz w:val="21"/>
          <w:szCs w:val="21"/>
          <w:lang w:val="en-US" w:eastAsia="zh-CN" w:bidi="ar"/>
        </w:rPr>
        <w:t>”</w:t>
      </w:r>
      <w:r>
        <w:rPr>
          <w:rFonts w:ascii="Times New Roman" w:eastAsia="宋体" w:hAnsi="Times New Roman" w:cs="Times New Roman" w:hint="default"/>
          <w:b w:val="0"/>
          <w:bCs w:val="0"/>
          <w:kern w:val="0"/>
          <w:sz w:val="21"/>
          <w:szCs w:val="21"/>
          <w:lang w:val="en-US" w:eastAsia="zh-CN" w:bidi="ar"/>
        </w:rPr>
        <w:t>的双重制约。</w:t>
      </w:r>
    </w:p>
    <w:p w14:paraId="6A4320F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2.3调度运行存在的机制缺位</w:t>
      </w:r>
    </w:p>
    <w:p w14:paraId="19413E9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kern w:val="0"/>
          <w:sz w:val="21"/>
          <w:szCs w:val="21"/>
          <w:lang w:val="en-US" w:eastAsia="zh-CN" w:bidi="ar"/>
        </w:rPr>
      </w:pPr>
      <w:r>
        <w:rPr>
          <w:rFonts w:ascii="Times New Roman" w:eastAsia="宋体" w:hAnsi="Times New Roman" w:cs="Times New Roman" w:hint="default"/>
          <w:b w:val="0"/>
          <w:bCs w:val="0"/>
          <w:kern w:val="0"/>
          <w:sz w:val="21"/>
          <w:szCs w:val="21"/>
          <w:lang w:val="en-US" w:eastAsia="zh-CN" w:bidi="ar"/>
        </w:rPr>
        <w:t>目前调度体系在多能协同场景下存在规则适配性差的问题，传统的以火电为主导的日前计划和实时调度框架，不能很好地反映风光出力的不确定性以及储能的时间耦合特性。储能的SOC状态有跨时段延续性，单一时段的调度决策会波及到后续时段的可用容量，现有的调度模型把储能当作即时可调资源，忽略了时序约束造成的累计效应。辅助服务市场补偿机制不健全，火电深度调峰和储能快速响应的价值没有通过价格信号体现出来，造成调节资源投入意愿不高。部分省份调峰补偿只按电量结算，没有区分响应速度和调节精度，使得储能毫秒级响应的优势在补偿体系中不能体现出来，影响了储能参与调度的积极性。</w:t>
      </w:r>
    </w:p>
    <w:p w14:paraId="7E11A4B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2.4多方参与引发的利益冲突</w:t>
      </w:r>
    </w:p>
    <w:p w14:paraId="13D6D535">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风光火储一体化项目一般包含新能源开发商、火电企业、储能投资方和电网企业等众多参与者，各个主体的成本结构以及收益诉求存在着本质的区别，在调度优先级以及收益分配方面容易产生矛盾。新能源企业希望发电量最大化的获得更多的补贴和售电收入，火电企业追求利用小时数和调峰补偿，储能投资方依靠峰谷套利和辅助服务来收回投资，电网企业看重系统的安全性以及通道的利用情况。当各方目标不一致的时候，一体化运行就会变成各个主体各自为政的简单拼凑，协同效益大打折扣。部分风光火储项目中，火电企业由于调峰造成利用小时数减少却没有得到足够的补偿，于是会继续维持较高的出力，从而挤占新能源的消</w:t>
      </w:r>
      <w:r>
        <w:rPr>
          <w:rFonts w:ascii="Times New Roman" w:eastAsia="宋体" w:hAnsi="Times New Roman" w:cs="Times New Roman" w:hint="eastAsia"/>
          <w:b w:val="0"/>
          <w:bCs w:val="0"/>
          <w:sz w:val="21"/>
          <w:szCs w:val="21"/>
          <w:lang w:eastAsia="zh-CN"/>
        </w:rPr>
        <w:t>纳</w:t>
      </w:r>
      <w:r>
        <w:rPr>
          <w:rFonts w:ascii="Times New Roman" w:eastAsia="宋体" w:hAnsi="Times New Roman" w:cs="Times New Roman" w:hint="default"/>
          <w:b w:val="0"/>
          <w:bCs w:val="0"/>
          <w:sz w:val="21"/>
          <w:szCs w:val="21"/>
        </w:rPr>
        <w:t>空间，形成</w:t>
      </w:r>
      <w:r>
        <w:rPr>
          <w:rFonts w:ascii="Times New Roman" w:eastAsia="宋体" w:hAnsi="Times New Roman" w:cs="Times New Roman" w:hint="eastAsia"/>
          <w:b w:val="0"/>
          <w:bCs w:val="0"/>
          <w:sz w:val="21"/>
          <w:szCs w:val="21"/>
          <w:lang w:eastAsia="zh-CN"/>
        </w:rPr>
        <w:t>火</w:t>
      </w:r>
      <w:r>
        <w:rPr>
          <w:rFonts w:ascii="Times New Roman" w:eastAsia="宋体" w:hAnsi="Times New Roman" w:cs="Times New Roman" w:hint="default"/>
          <w:b w:val="0"/>
          <w:bCs w:val="0"/>
          <w:sz w:val="21"/>
          <w:szCs w:val="21"/>
        </w:rPr>
        <w:t>风光争发的局面</w:t>
      </w:r>
      <w:r>
        <w:rPr>
          <w:rFonts w:ascii="Times New Roman" w:eastAsia="宋体" w:hAnsi="Times New Roman" w:cs="Times New Roman" w:hint="eastAsia"/>
          <w:b w:val="0"/>
          <w:bCs w:val="0"/>
          <w:sz w:val="21"/>
          <w:szCs w:val="21"/>
          <w:vertAlign w:val="superscript"/>
          <w:lang w:val="en-US" w:eastAsia="zh-CN"/>
        </w:rPr>
        <w:t>[3]</w:t>
      </w:r>
      <w:r>
        <w:rPr>
          <w:rFonts w:ascii="Times New Roman" w:eastAsia="宋体" w:hAnsi="Times New Roman" w:cs="Times New Roman" w:hint="default"/>
          <w:b w:val="0"/>
          <w:bCs w:val="0"/>
          <w:sz w:val="21"/>
          <w:szCs w:val="21"/>
        </w:rPr>
        <w:t>。</w:t>
      </w:r>
    </w:p>
    <w:p w14:paraId="492AE97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3风光火储一体化运行的调控策略</w:t>
      </w:r>
    </w:p>
    <w:p w14:paraId="31DCA2A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3.1平抑波动的协同调度策略</w:t>
      </w:r>
    </w:p>
    <w:p w14:paraId="48107653">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平抑波动的关键之处在于创建起多时间尺度的分层协同调度架构，把风光出力的波动分量依照频率特性分派给不同的调节资源。各个电源在调节速率、响应时间、容量约束等方面存在着较大的差别，其技术特性如表1所示，这是分层调度的物理基础。</w:t>
      </w:r>
    </w:p>
    <w:p w14:paraId="7EC9DEFB">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Style w:val="Strong"/>
          <w:rFonts w:ascii="Times New Roman" w:eastAsia="宋体" w:hAnsi="Times New Roman" w:cs="Times New Roman" w:hint="default"/>
          <w:b w:val="0"/>
          <w:bCs w:val="0"/>
          <w:sz w:val="21"/>
          <w:szCs w:val="21"/>
        </w:rPr>
      </w:pPr>
    </w:p>
    <w:p w14:paraId="787E6CC8">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具体操作时可以使用小波包分解把净负荷曲线分解成高频分量（秒级到分钟级）、中频分量（分钟级到小时级）和低频分量（小时级以上），高频分量由储能的功率型单元响应，中频分量由储能的能量型单元和火电共同承担，低频分量由火电出力计划来覆盖。储能系统运行要符合荷电状态的时序递推约束，其数学表达式为</w:t>
      </w:r>
      <w:r>
        <w:rPr>
          <w:rFonts w:ascii="Times New Roman" w:eastAsia="宋体" w:hAnsi="Times New Roman" w:cs="Times New Roman" w:hint="eastAsia"/>
          <w:b w:val="0"/>
          <w:bCs w:val="0"/>
          <w:sz w:val="21"/>
          <w:szCs w:val="21"/>
          <w:lang w:eastAsia="zh-CN"/>
        </w:rPr>
        <w:t>式</w:t>
      </w:r>
      <w:r>
        <w:rPr>
          <w:rFonts w:ascii="Times New Roman" w:eastAsia="宋体" w:hAnsi="Times New Roman" w:cs="Times New Roman" w:hint="default"/>
          <w:b w:val="0"/>
          <w:bCs w:val="0"/>
          <w:sz w:val="21"/>
          <w:szCs w:val="21"/>
        </w:rPr>
        <w:t>（</w:t>
      </w:r>
      <w:r>
        <w:rPr>
          <w:rFonts w:ascii="Times New Roman" w:eastAsia="宋体" w:hAnsi="Times New Roman" w:cs="Times New Roman" w:hint="eastAsia"/>
          <w:b w:val="0"/>
          <w:bCs w:val="0"/>
          <w:sz w:val="21"/>
          <w:szCs w:val="21"/>
          <w:lang w:eastAsia="zh-CN"/>
        </w:rPr>
        <w:t>1</w:t>
      </w:r>
      <w:r>
        <w:rPr>
          <w:rFonts w:ascii="Times New Roman" w:eastAsia="宋体" w:hAnsi="Times New Roman" w:cs="Times New Roman" w:hint="default"/>
          <w:b w:val="0"/>
          <w:bCs w:val="0"/>
          <w:sz w:val="21"/>
          <w:szCs w:val="21"/>
        </w:rPr>
        <w:t>）。</w:t>
      </w:r>
    </w:p>
    <w:p w14:paraId="7E519A5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p>
    <w:p w14:paraId="798399F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bookmarkStart w:id="0" w:name="_GoBack"/>
      <w:bookmarkEnd w:id="0"/>
      <w:r>
        <w:rPr>
          <w:rFonts w:ascii="Times New Roman" w:eastAsia="宋体" w:hAnsi="Times New Roman" w:cs="Times New Roman" w:hint="default"/>
          <w:b/>
          <w:bCs/>
          <w:sz w:val="21"/>
          <w:szCs w:val="21"/>
        </w:rPr>
        <w:t>3.2促进消纳的一体控制策略</w:t>
      </w:r>
    </w:p>
    <w:p w14:paraId="206FBBC1">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促进消纳要从源网荷三个角度创建一体化控制体系，让新能源出力在发电、输电、用电各个环节都有所吸收。电源侧以火电机组灵活性改造为手段，采用低压缸零出力、汽泵改电泵、锅炉低负荷稳燃等技术措施，将最低稳燃负荷降低到额定容量的较低范围之内，增大了火电的调峰深度，并且配有快速启停的燃气机组作为备用容量，在新能源出力突然下降的时候及时填补功率缺口，给新能源留出更多</w:t>
      </w:r>
      <w:r>
        <w:rPr>
          <w:rFonts w:ascii="Times New Roman" w:eastAsia="宋体" w:hAnsi="Times New Roman" w:cs="Times New Roman" w:hint="default"/>
          <w:b w:val="0"/>
          <w:bCs w:val="0"/>
          <w:sz w:val="21"/>
          <w:szCs w:val="21"/>
          <w:lang w:eastAsia="zh-CN"/>
        </w:rPr>
        <w:t>的</w:t>
      </w:r>
      <w:r>
        <w:rPr>
          <w:rFonts w:ascii="Times New Roman" w:eastAsia="宋体" w:hAnsi="Times New Roman" w:cs="Times New Roman" w:hint="default"/>
          <w:b w:val="0"/>
          <w:bCs w:val="0"/>
          <w:sz w:val="21"/>
          <w:szCs w:val="21"/>
        </w:rPr>
        <w:t>发电空间，电网侧利用柔性直流输电和可控串补技术提高外送通道的动态输送能力，根据新能源出力的实时变化调节通道传输功率，使通道输送能力与新能源大发时段高度契合，创建分布式新能源的柔性并网装置，用电压源型换流器完成有功无功的独立解耦控制，削减新能源并网给电网惯量和短路容量带来的</w:t>
      </w:r>
      <w:r>
        <w:rPr>
          <w:rFonts w:ascii="Times New Roman" w:eastAsia="宋体" w:hAnsi="Times New Roman" w:cs="Times New Roman" w:hint="default"/>
          <w:b w:val="0"/>
          <w:bCs w:val="0"/>
          <w:sz w:val="21"/>
          <w:szCs w:val="21"/>
          <w:lang w:eastAsia="zh-CN"/>
        </w:rPr>
        <w:t>影</w:t>
      </w:r>
      <w:r>
        <w:rPr>
          <w:rFonts w:ascii="Times New Roman" w:eastAsia="宋体" w:hAnsi="Times New Roman" w:cs="Times New Roman" w:hint="default"/>
          <w:b w:val="0"/>
          <w:bCs w:val="0"/>
          <w:sz w:val="21"/>
          <w:szCs w:val="21"/>
        </w:rPr>
        <w:t>响，负荷侧创建虚拟电厂聚合平台，把工业可中断负荷、电动汽车充电桩和分布式储能纳入统一调控，在新能源大发时段发出增荷指令，在新能源低谷时段发出减荷指令，达成负荷侧对新能源出力的主动跟随，控制策略分为日前预调度、日内滚动修正和实时快速响应三个层次，逐层缩减计划偏差。</w:t>
      </w:r>
    </w:p>
    <w:p w14:paraId="0C235BE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3.3完善机制的市场引导策略</w:t>
      </w:r>
    </w:p>
    <w:p w14:paraId="01DE3CCE">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市场机制是调节资源分配的主动力，价格信号是否可以真实体现各个电源的调节价值和稀缺性，直接影响到风光火储一体化系统里各个主体之间的合作意愿以及运行效率。一是加快电力现货市场和辅助服务市场的协同建设，用日前和实时市场的电价波动来体现系统供需的实时紧张程度，丰富辅助服务交易品种，在调峰、调频的基础上增加爬坡服务、惯量支撑、备用容量等，对不同的响应速度调节资源实行不同的价格策略，让储能毫秒级响应和火电分钟级调节各自得到公正的补偿</w:t>
      </w:r>
      <w:r>
        <w:rPr>
          <w:rFonts w:ascii="Times New Roman" w:eastAsia="宋体" w:hAnsi="Times New Roman" w:cs="Times New Roman" w:hint="eastAsia"/>
          <w:b w:val="0"/>
          <w:bCs w:val="0"/>
          <w:sz w:val="21"/>
          <w:szCs w:val="21"/>
          <w:vertAlign w:val="superscript"/>
          <w:lang w:val="en-US" w:eastAsia="zh-CN"/>
        </w:rPr>
        <w:t>[4]</w:t>
      </w:r>
      <w:r>
        <w:rPr>
          <w:rFonts w:ascii="Times New Roman" w:eastAsia="宋体" w:hAnsi="Times New Roman" w:cs="Times New Roman" w:hint="default"/>
          <w:b w:val="0"/>
          <w:bCs w:val="0"/>
          <w:sz w:val="21"/>
          <w:szCs w:val="21"/>
        </w:rPr>
        <w:t>。二是创建“</w:t>
      </w:r>
      <w:r>
        <w:rPr>
          <w:rFonts w:ascii="Times New Roman" w:eastAsia="宋体" w:hAnsi="Times New Roman" w:cs="Times New Roman" w:hint="eastAsia"/>
          <w:b w:val="0"/>
          <w:bCs w:val="0"/>
          <w:sz w:val="21"/>
          <w:szCs w:val="21"/>
          <w:lang w:eastAsia="zh-CN"/>
        </w:rPr>
        <w:t>电能</w:t>
      </w:r>
      <w:r>
        <w:rPr>
          <w:rFonts w:ascii="Times New Roman" w:eastAsia="宋体" w:hAnsi="Times New Roman" w:cs="Times New Roman" w:hint="default"/>
          <w:b w:val="0"/>
          <w:bCs w:val="0"/>
          <w:sz w:val="21"/>
          <w:szCs w:val="21"/>
        </w:rPr>
        <w:t>量、辅助服务、容量补偿”三</w:t>
      </w:r>
      <w:r>
        <w:rPr>
          <w:rFonts w:ascii="Times New Roman" w:eastAsia="宋体" w:hAnsi="Times New Roman" w:cs="Times New Roman" w:hint="eastAsia"/>
          <w:b w:val="0"/>
          <w:bCs w:val="0"/>
          <w:sz w:val="21"/>
          <w:szCs w:val="21"/>
          <w:lang w:eastAsia="zh-CN"/>
        </w:rPr>
        <w:t>者</w:t>
      </w:r>
      <w:r>
        <w:rPr>
          <w:rFonts w:ascii="Times New Roman" w:eastAsia="宋体" w:hAnsi="Times New Roman" w:cs="Times New Roman" w:hint="default"/>
          <w:b w:val="0"/>
          <w:bCs w:val="0"/>
          <w:sz w:val="21"/>
          <w:szCs w:val="21"/>
        </w:rPr>
        <w:t>相结合的多元收益结算体系，火电企业因为深度调峰造成的发电量损失被辅助服务补偿和容量电费回收，储能投资方凭借峰谷价差套利以及辅助服务补偿这两条途径来回收投资，某风光火储一体化项目约定火电因为深度调峰减少的发电量按照现货市场均价折算后从超额收益中先补偿，剩余收益再按照股权比例分配，较好地解决了火电企业的调峰顾虑，提高了各主体参与协同运行的积极性。</w:t>
      </w:r>
    </w:p>
    <w:p w14:paraId="0094ECA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3.4协调利益的共享分配策略</w:t>
      </w:r>
    </w:p>
    <w:p w14:paraId="33DFF100">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利益协调的关键就是创建起以贡献度量化的共享分配体系，让各个主体在一体化协同的过程中所得到的收益同付出的调节成本相适应，防止由于分配不公造成协同运行从各主体独立决策的简单拼合变成一种新的状态。具体的执行过程中可以采用合作博弈的方法来计算出各个主体的分配比例，先分别计算出各个主体独立运行时的收益作为基准，然后计算出一体化联合运行的总收益，两者之差就是协同超额收益，最后根据各个主体在不同的联盟组合中所做出的贡献来计算出分配权重，火电的贡献主要是调峰让利和容量支撑，新能源的贡献主要是清洁电量和碳减排效益，储能的贡献主要是快速响应和峰谷转移。分配方案要符合个体理性与集体理性的双重约束，即每一个主体所获得的收益不得少于其单独运行时的收益，所有的主体分得的收益之和必须等于总的协同收益。项目执行上可以成立合资运营公司统一经营各个环节的资产，按照股权比例分配基础收益，另外设立协同绩效奖金池，根据各个主体实际承担的调节任务量进行二次分配，建立每季度复核的动态调整机制，市场环境或者技术参数发生较大变化时及时调整分配比例，防止长期固定比例造成新的不公。</w:t>
      </w:r>
    </w:p>
    <w:p w14:paraId="37DC1F2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eastAsia"/>
          <w:b/>
          <w:bCs/>
          <w:sz w:val="21"/>
          <w:szCs w:val="21"/>
          <w:lang w:val="en-US" w:eastAsia="zh-CN"/>
        </w:rPr>
        <w:t>4</w:t>
      </w:r>
      <w:r>
        <w:rPr>
          <w:rFonts w:ascii="Times New Roman" w:eastAsia="宋体" w:hAnsi="Times New Roman" w:cs="Times New Roman" w:hint="default"/>
          <w:b/>
          <w:bCs/>
          <w:sz w:val="21"/>
          <w:szCs w:val="21"/>
        </w:rPr>
        <w:t>结语</w:t>
      </w:r>
    </w:p>
    <w:p w14:paraId="6C34AB9E">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lang w:val="en-US" w:eastAsia="zh-CN"/>
        </w:rPr>
      </w:pPr>
      <w:r>
        <w:rPr>
          <w:rFonts w:ascii="Times New Roman" w:eastAsia="宋体" w:hAnsi="Times New Roman" w:cs="Times New Roman" w:hint="default"/>
          <w:b w:val="0"/>
          <w:bCs w:val="0"/>
          <w:sz w:val="21"/>
          <w:szCs w:val="21"/>
          <w:lang w:val="en-US" w:eastAsia="zh-CN"/>
        </w:rPr>
        <w:t>因此风光火储一体化运行的耦合关系包含风光时空互补、源荷动态匹配和火储分层调节这三个方面，高效运行要依靠机理认识、问题诊断和策略制订三者之间的有机联系。目前存在出力波动协调、并网消纳瓶颈、调度机制缺失和多方利益矛盾这四个问题相互交织的现象，需要从技术、市场和制度三方面共同解决。平抑波动的分层调度、促进消纳的一体控制、完善机制的市场引导和协调利益的共享分配一起形成了一个完整的调控策略。未来可以继续研究人工智能算法在超短期风光预测中的应用，加深对电碳耦合市场下多主体博弈的建模，关注长时储能技术成熟之后，对一体化系统容量配置和运行模式产生的影响。</w:t>
      </w:r>
    </w:p>
    <w:p w14:paraId="09FA14CB">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24513FB"/>
    <w:rsid w:val="277679C1"/>
    <w:rsid w:val="288F2023"/>
    <w:rsid w:val="314761D5"/>
    <w:rsid w:val="34B97B5D"/>
    <w:rsid w:val="48594C7C"/>
    <w:rsid w:val="63065908"/>
    <w:rsid w:val="6D13173E"/>
    <w:rsid w:val="72E24497"/>
    <w:rsid w:val="797A6C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3cd4e9fd-f34a-4844-a649-9d2e54f839f7</errorID>
      <errorWord>大发</errorWord>
      <group>L1_Word</group>
      <groupName>字词问题</groupName>
      <ability>L2_Typo</ability>
      <abilityName>字词错误</abilityName>
      <candidateList>
        <item>大</item>
      </candidateList>
      <explain/>
      <paraID>21A8BE95</paraID>
      <start>109</start>
      <end>111</end>
      <status>ignored</status>
      <modifiedWord/>
      <trackRevisions>false</trackRevisions>
    </reviewItem>
    <reviewItem>
      <errorID>c4a799b5-2f29-432d-93a6-b36dee2d4f36</errorID>
      <errorWord>"</errorWord>
      <group>L1_Format</group>
      <groupName>格式问题</groupName>
      <ability>L2_HalfPunc_CN</ability>
      <abilityName>全半角问题</abilityName>
      <candidateList>
        <item>“</item>
      </candidateList>
      <explain>文本全半角错误。</explain>
      <paraID>21A8BE95</paraID>
      <start>251</start>
      <end>252</end>
      <status>modified</status>
      <modifiedWord>“</modifiedWord>
      <trackRevisions>false</trackRevisions>
    </reviewItem>
    <reviewItem>
      <errorID>e5c61a0e-3f6d-40f1-9f18-773c6a4dd8aa</errorID>
      <errorWord>并并不</errorWord>
      <group>L1_Word</group>
      <groupName>字词问题</groupName>
      <ability>L2_Typo</ability>
      <abilityName>字词错误</abilityName>
      <candidateList>
        <item>并不</item>
      </candidateList>
      <explain/>
      <paraID>21A8BE95</paraID>
      <start>259</start>
      <end>262</end>
      <status>ignored</status>
      <modifiedWord/>
      <trackRevisions>false</trackRevisions>
    </reviewItem>
    <reviewItem>
      <errorID>1868c05a-d780-4e7f-b646-6f5133f6dcb5</errorID>
      <errorWord>"</errorWord>
      <group>L1_Format</group>
      <groupName>格式问题</groupName>
      <ability>L2_HalfPunc_CN</ability>
      <abilityName>全半角问题</abilityName>
      <candidateList>
        <item>”</item>
      </candidateList>
      <explain>文本全半角错误。</explain>
      <paraID>21A8BE95</paraID>
      <start>263</start>
      <end>264</end>
      <status>modified</status>
      <modifiedWord>”</modifiedWord>
      <trackRevisions>false</trackRevisions>
    </reviewItem>
    <reviewItem>
      <errorID>04a39c54-748e-4527-891d-3f17fd0d2157</errorID>
      <errorWord>（</errorWord>
      <group>L1_Format</group>
      <groupName>格式问题</groupName>
      <ability>L2_HalfPunc_CN</ability>
      <abilityName>全半角问题</abilityName>
      <candidateList>
        <item>(</item>
      </candidateList>
      <explain>文本全半角错误。</explain>
      <paraID> 7F5A184</paraID>
      <start>73</start>
      <end>74</end>
      <status>unmodified</status>
      <modifiedWord/>
      <trackRevisions>false</trackRevisions>
    </reviewItem>
    <reviewItem>
      <errorID>8f0493bf-b68b-4492-86eb-b33c8de2a955</errorID>
      <errorWord>）</errorWord>
      <group>L1_Format</group>
      <groupName>格式问题</groupName>
      <ability>L2_HalfPunc_CN</ability>
      <abilityName>全半角问题</abilityName>
      <candidateList>
        <item>)</item>
      </candidateList>
      <explain>文本全半角错误。</explain>
      <paraID> 7F5A184</paraID>
      <start>75</start>
      <end>76</end>
      <status>unmodified</status>
      <modifiedWord/>
      <trackRevisions>false</trackRevisions>
    </reviewItem>
    <reviewItem>
      <errorID>47591603-43d5-427f-8c9a-558a9580946e</errorID>
      <errorWord>)</errorWord>
      <group>L1_Format</group>
      <groupName>格式问题</groupName>
      <ability>L2_HalfPunc_CN</ability>
      <abilityName>全半角问题</abilityName>
      <candidateList>
        <item>）</item>
      </candidateList>
      <explain>文本全半角错误。</explain>
      <paraID>6B7F2D3D</paraID>
      <start>8</start>
      <end>9</end>
      <status>unmodified</status>
      <modifiedWord/>
      <trackRevisions>false</trackRevisions>
    </reviewItem>
    <reviewItem>
      <errorID>2ef7af7f-0f37-438d-b10a-0793a62f15e7</errorID>
      <errorWord>（</errorWord>
      <group>L1_Format</group>
      <groupName>格式问题</groupName>
      <ability>L2_HalfPunc_CN</ability>
      <abilityName>全半角问题</abilityName>
      <candidateList>
        <item>(</item>
      </candidateList>
      <explain>文本全半角错误。</explain>
      <paraID>6883164A</paraID>
      <start>76</start>
      <end>77</end>
      <status>unmodified</status>
      <modifiedWord/>
      <trackRevisions>false</trackRevisions>
    </reviewItem>
    <reviewItem>
      <errorID>af9685bd-7b69-4f25-bde1-1a281f2ebb44</errorID>
      <errorWord>）</errorWord>
      <group>L1_Format</group>
      <groupName>格式问题</groupName>
      <ability>L2_HalfPunc_CN</ability>
      <abilityName>全半角问题</abilityName>
      <candidateList>
        <item>)</item>
      </candidateList>
      <explain>文本全半角错误。</explain>
      <paraID>6883164A</paraID>
      <start>78</start>
      <end>79</end>
      <status>unmodified</status>
      <modifiedWord/>
      <trackRevisions>false</trackRevisions>
    </reviewItem>
  </reviewItems>
  <config/>
</contractReview>
</file>

<file path=customXml/itemProps1.xml><?xml version="1.0" encoding="utf-8"?>
<ds:datastoreItem xmlns:ds="http://schemas.openxmlformats.org/officeDocument/2006/customXml" ds:itemID="{25c3c6dc-efee-495d-9ec6-debe2f8aa920}">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4843</Words>
  <Characters>5169</Characters>
  <Application>Microsoft Office Word</Application>
  <DocSecurity>0</DocSecurity>
  <Lines>0</Lines>
  <Paragraphs>0</Paragraphs>
  <ScaleCrop>false</ScaleCrop>
  <Company/>
  <LinksUpToDate>false</LinksUpToDate>
  <CharactersWithSpaces>5187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Resurgam</cp:lastModifiedBy>
  <cp:revision>0</cp:revision>
  <dcterms:created xsi:type="dcterms:W3CDTF">2026-09-02T07:36:00Z</dcterms:created>
  <dcterms:modified xsi:type="dcterms:W3CDTF">2026-09-04T07:07:15Z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95290601E05640D0AD28EDFFBFE20953_13</vt:lpwstr>
  </property>
  <property fmtid="{D5CDD505-2E9C-101B-9397-08002B2CF9AE}" pid="3" name="KSOProductBuildVer">
    <vt:lpwstr>2052-12.1.0.28043</vt:lpwstr>
  </property>
  <property fmtid="{D5CDD505-2E9C-101B-9397-08002B2CF9AE}" pid="4" name="KSOTemplateDocerSaveRecord">
    <vt:lpwstr>eyJoZGlkIjoiYTk3YmY3NWQ0YmNmZGVmMTdjYzMzOTgyZjgzMDQwZTkiLCJ1c2VySWQiOiIyNDYyMTY4NzMifQ==</vt:lpwstr>
  </property>
</Properties>
</file>