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7ED4510">
      <w:pPr>
        <w:adjustRightInd w:val="0"/>
        <w:snapToGrid w:val="0"/>
        <w:spacing w:line="400" w:lineRule="exact"/>
        <w:jc w:val="center"/>
        <w:rPr>
          <w:rFonts w:ascii="黑体" w:eastAsia="黑体" w:hAnsi="黑体" w:hint="eastAsia"/>
          <w:b w:val="0"/>
          <w:color w:val="0000FF"/>
          <w:sz w:val="40"/>
        </w:rPr>
      </w:pPr>
      <w:r>
        <w:rPr>
          <w:rFonts w:ascii="黑体" w:eastAsia="黑体" w:hAnsi="黑体" w:hint="eastAsia"/>
          <w:b w:val="0"/>
          <w:color w:val="0000FF"/>
          <w:sz w:val="40"/>
        </w:rPr>
        <w:t>财务共享中心模式</w:t>
      </w:r>
      <w:r>
        <w:rPr>
          <w:rFonts w:ascii="黑体" w:eastAsia="黑体" w:hAnsi="黑体" w:hint="eastAsia"/>
          <w:b w:val="0"/>
          <w:color w:val="0000FF"/>
          <w:sz w:val="40"/>
          <w:lang w:val="en-US" w:eastAsia="zh-CN"/>
        </w:rPr>
        <w:t>赋能</w:t>
      </w:r>
      <w:r>
        <w:rPr>
          <w:rFonts w:ascii="黑体" w:eastAsia="黑体" w:hAnsi="黑体" w:hint="eastAsia"/>
          <w:b w:val="0"/>
          <w:color w:val="0000FF"/>
          <w:sz w:val="40"/>
        </w:rPr>
        <w:t>国企资金管理</w:t>
      </w:r>
      <w:r>
        <w:rPr>
          <w:rFonts w:ascii="黑体" w:eastAsia="黑体" w:hAnsi="黑体" w:hint="eastAsia"/>
          <w:b w:val="0"/>
          <w:color w:val="0000FF"/>
          <w:sz w:val="40"/>
          <w:lang w:val="en-US" w:eastAsia="zh-CN"/>
        </w:rPr>
        <w:t>的</w:t>
      </w:r>
      <w:r>
        <w:rPr>
          <w:rFonts w:ascii="黑体" w:eastAsia="黑体" w:hAnsi="黑体" w:hint="eastAsia"/>
          <w:b w:val="0"/>
          <w:color w:val="0000FF"/>
          <w:sz w:val="40"/>
        </w:rPr>
        <w:t>优化路径</w:t>
      </w:r>
      <w:r>
        <w:rPr>
          <w:rFonts w:ascii="黑体" w:eastAsia="黑体" w:hAnsi="黑体" w:hint="eastAsia"/>
          <w:b w:val="0"/>
          <w:color w:val="0000FF"/>
          <w:sz w:val="40"/>
        </w:rPr>
        <w:br/>
      </w:r>
    </w:p>
    <w:p w14:paraId="3E168B0A">
      <w:pPr>
        <w:adjustRightInd w:val="0"/>
        <w:snapToGrid w:val="0"/>
        <w:spacing w:line="400" w:lineRule="exact"/>
        <w:jc w:val="center"/>
        <w:rPr>
          <w:rFonts w:ascii="黑体" w:eastAsia="黑体" w:hAnsi="黑体" w:hint="eastAsia"/>
          <w:b w:val="0"/>
          <w:color w:val="0000FF"/>
          <w:sz w:val="40"/>
        </w:rPr>
      </w:pPr>
      <w:bookmarkStart w:id="0" w:name="_GoBack"/>
      <w:bookmarkEnd w:id="0"/>
    </w:p>
    <w:p w14:paraId="7CDFFADA">
      <w:pPr>
        <w:spacing w:line="340" w:lineRule="exact"/>
        <w:jc w:val="left"/>
        <w:rPr>
          <w:rFonts w:ascii="黑体" w:eastAsia="黑体" w:hAnsi="黑体"/>
          <w:b/>
          <w:sz w:val="20"/>
        </w:rPr>
      </w:pPr>
    </w:p>
    <w:p w14:paraId="3BB45F43">
      <w:pPr>
        <w:spacing w:line="340" w:lineRule="exact"/>
        <w:rPr>
          <w:rFonts w:ascii="楷体" w:eastAsia="楷体" w:hAnsi="楷体" w:hint="eastAsia"/>
          <w:sz w:val="20"/>
        </w:rPr>
      </w:pPr>
      <w:r>
        <w:rPr>
          <w:rFonts w:ascii="黑体" w:eastAsia="黑体" w:hAnsi="黑体" w:hint="eastAsia"/>
          <w:b/>
          <w:sz w:val="20"/>
        </w:rPr>
        <w:t>摘要：</w:t>
      </w:r>
      <w:r>
        <w:rPr>
          <w:rFonts w:ascii="楷体" w:eastAsia="楷体" w:hAnsi="楷体" w:hint="eastAsia"/>
          <w:color w:val="0000FF"/>
          <w:sz w:val="20"/>
        </w:rPr>
        <w:t>财务共享中心属于数字化时代企业财务管理组织变革的一种重要形式，正在改变国企资金管理的运行逻辑和效能边界。本文以国企资金管理优化为研究对象，运用流程再造理论和资源基础理论来建立分析框架，根据国企财务共享中心建设的实践特点，从系统衔接、风险覆盖、人员能力、考核导向四个方面来诊断目前资金管理运行的困境。研究显示，业务端和财务端数据壁垒、风险管理事后的倾向、复合型人才供给不足、考核指标短期化的偏差，是造成财务共享中心赋能效应不能充分发挥的原因。因此本文从平台一体化建设、风险动态管控、人才梯队培育、考核体系重构四个方面给出优化路径，为国企资金管理效率的提高提供借鉴。</w:t>
      </w:r>
    </w:p>
    <w:p w14:paraId="798ADB9C">
      <w:pPr>
        <w:spacing w:line="340" w:lineRule="exact"/>
        <w:rPr>
          <w:rFonts w:ascii="楷体" w:eastAsia="楷体" w:hAnsi="楷体" w:hint="eastAsia"/>
          <w:sz w:val="20"/>
        </w:rPr>
      </w:pPr>
      <w:r>
        <w:rPr>
          <w:rFonts w:ascii="黑体" w:eastAsia="黑体" w:hAnsi="黑体" w:hint="eastAsia"/>
          <w:b/>
          <w:sz w:val="20"/>
        </w:rPr>
        <w:t>关键词：</w:t>
      </w:r>
      <w:r>
        <w:rPr>
          <w:rFonts w:ascii="楷体" w:eastAsia="楷体" w:hAnsi="楷体" w:hint="eastAsia"/>
          <w:color w:val="0000FF"/>
          <w:sz w:val="20"/>
        </w:rPr>
        <w:t>财务共享中心；国企；资金管理；优化路径；业财融合</w:t>
      </w:r>
    </w:p>
    <w:p w14:paraId="5D950B3E">
      <w:pPr>
        <w:adjustRightInd w:val="0"/>
        <w:spacing w:line="340" w:lineRule="exact"/>
        <w:jc w:val="left"/>
        <w:rPr>
          <w:rFonts w:ascii="Times New Roman" w:hAnsi="Times New Roman" w:cs="Times New Roman"/>
          <w:sz w:val="20"/>
        </w:rPr>
      </w:pPr>
      <w:r>
        <w:rPr>
          <w:rFonts w:ascii="黑体" w:eastAsia="黑体" w:hAnsi="黑体" w:hint="eastAsia"/>
          <w:b/>
          <w:sz w:val="20"/>
        </w:rPr>
        <w:t>中图分类号：</w:t>
      </w:r>
      <w:r>
        <w:rPr>
          <w:rFonts w:ascii="Times New Roman" w:hAnsi="Times New Roman" w:cs="Times New Roman"/>
          <w:sz w:val="20"/>
        </w:rPr>
        <w:t>F275;F276.1</w:t>
      </w:r>
    </w:p>
    <w:p w14:paraId="4D8D3AC5">
      <w:pPr>
        <w:adjustRightInd w:val="0"/>
        <w:spacing w:line="340" w:lineRule="exact"/>
        <w:jc w:val="left"/>
      </w:pPr>
    </w:p>
    <w:p w14:paraId="385AA44F">
      <w:pPr>
        <w:spacing w:line="340" w:lineRule="exact"/>
        <w:ind w:firstLine="400" w:firstLineChars="200"/>
        <w:rPr>
          <w:rFonts w:ascii="宋体" w:eastAsia="宋体" w:hAnsi="宋体"/>
          <w:sz w:val="20"/>
        </w:rPr>
        <w:sectPr>
          <w:headerReference w:type="even" r:id="rId5"/>
          <w:headerReference w:type="default" r:id="rId6"/>
          <w:footerReference w:type="even" r:id="rId7"/>
          <w:footerReference w:type="default" r:id="rId8"/>
          <w:headerReference w:type="first" r:id="rId9"/>
          <w:footerReference w:type="first" r:id="rId10"/>
          <w:pgSz w:w="11906" w:h="16838"/>
          <w:pgMar w:top="1440" w:right="1077" w:bottom="1440" w:left="1077" w:header="851" w:footer="992" w:gutter="0"/>
          <w:pgNumType w:fmt="numberInDash"/>
          <w:cols w:num="1" w:space="425"/>
          <w:titlePg/>
          <w:docGrid w:type="lines" w:linePitch="312" w:charSpace="0"/>
        </w:sectPr>
      </w:pPr>
    </w:p>
    <w:p w14:paraId="061066E7">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资金是企业运转的“血</w:t>
      </w:r>
      <w:r>
        <w:rPr>
          <w:rFonts w:ascii="宋体" w:eastAsia="宋体" w:hAnsi="宋体" w:hint="eastAsia"/>
          <w:color w:val="0000FF"/>
          <w:sz w:val="20"/>
          <w:lang w:eastAsia="zh-CN"/>
        </w:rPr>
        <w:t>液</w:t>
      </w:r>
      <w:r>
        <w:rPr>
          <w:rFonts w:ascii="宋体" w:eastAsia="宋体" w:hAnsi="宋体" w:hint="eastAsia"/>
          <w:color w:val="0000FF"/>
          <w:sz w:val="20"/>
        </w:rPr>
        <w:t>”，</w:t>
      </w:r>
      <w:r>
        <w:rPr>
          <w:rFonts w:ascii="宋体" w:eastAsia="宋体" w:hAnsi="宋体" w:hint="eastAsia"/>
          <w:color w:val="0000FF"/>
          <w:sz w:val="20"/>
          <w:lang w:eastAsia="zh-CN"/>
        </w:rPr>
        <w:t>资</w:t>
      </w:r>
      <w:r>
        <w:rPr>
          <w:rFonts w:ascii="宋体" w:eastAsia="宋体" w:hAnsi="宋体" w:hint="eastAsia"/>
          <w:color w:val="0000FF"/>
          <w:sz w:val="20"/>
        </w:rPr>
        <w:t>金管理的好坏直接影响到国企资源分配的效率和抗风险的能力。在经济全球化、国资国企改革不断深入的大环境下，国企经营规模越来越大，业务范围也越来越广，传统的分散式资金管理方式对于资金调配效率、管控成本以及风险防控等各方面存在的不足逐渐暴露出来。财务共享中心模式依靠数字化技术创建起集约化财务管理体系，把分散在各个分支机构的费用报销、账款管理、会计核算、资金结算等业务集中起来处理，已经成为越来越多的国企财务转型的选择，使得国企资金管理由分散走向集中、由手工走向智能、从事后核算走向全过程管控。</w:t>
      </w:r>
    </w:p>
    <w:p w14:paraId="4F39D829">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目前学界对于财务共享中心的研究大多集中在建设模式、实施路径和绩效评价等方面，对于它怎样具体作用于资金管理微观环节的研究还比较缺乏。国企由于产权属性、组织规模和监管要求的不同，在合规性、安全性、效益性之间存在更复杂平衡的需求，财务共享中心模式在这种情况下是否适合使用需要进一步研究。因此，本文以财务共享中心模式下国企资金管理为研究对象，用文献研究法和规范分析法，对运行困境进行系统的诊断，并提出相应的改进措施。</w:t>
      </w:r>
    </w:p>
    <w:p w14:paraId="32F0B55F">
      <w:pPr>
        <w:spacing w:line="340" w:lineRule="exact"/>
        <w:ind w:firstLine="480" w:firstLineChars="200"/>
        <w:rPr>
          <w:rFonts w:ascii="黑体" w:eastAsia="黑体" w:hAnsi="黑体" w:hint="eastAsia"/>
          <w:color w:val="0000FF"/>
          <w:sz w:val="24"/>
          <w:lang w:val="en-US" w:eastAsia="zh-CN"/>
        </w:rPr>
      </w:pPr>
    </w:p>
    <w:p w14:paraId="19687F56">
      <w:pPr>
        <w:spacing w:line="340" w:lineRule="exact"/>
        <w:ind w:firstLine="480" w:firstLineChars="200"/>
        <w:rPr>
          <w:rFonts w:ascii="黑体" w:eastAsia="黑体" w:hAnsi="黑体" w:hint="eastAsia"/>
          <w:color w:val="0000FF"/>
          <w:sz w:val="24"/>
          <w:lang w:val="en-US" w:eastAsia="zh-CN"/>
        </w:rPr>
      </w:pPr>
      <w:r>
        <w:rPr>
          <w:rFonts w:ascii="黑体" w:eastAsia="黑体" w:hAnsi="黑体" w:hint="eastAsia"/>
          <w:color w:val="0000FF"/>
          <w:sz w:val="24"/>
          <w:lang w:val="en-US" w:eastAsia="zh-CN"/>
        </w:rPr>
        <w:t>三、财务共享中心模式下国企资金管理的现状与问题</w:t>
      </w:r>
    </w:p>
    <w:p w14:paraId="3EF29B56">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（一）业财系统衔接不畅引发数据流转损耗</w:t>
      </w:r>
    </w:p>
    <w:p w14:paraId="5ACA184D">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资金管理系统同业务系统之间对接的程度，直接影响到财务共享中心能否得到全面、及时的资金运动信息。目前部分国企的业务部门使用各自的业务系统进行资金收付申请、预算审批、费用报销等操作，但是这些操作不能自动同步到资金管理系统中。业务人员一般要手动导出数据，再通过邮件等形式把数据传递给财务人员进行二次录入，数据在多次流转和格式转换的过程中很容易出现信息差。业务端传输的信息一般只包含金额、账户和发生日期这些基本字段，而缺少了项目进度、合同细节等重要的信息，这些信息在传递过程中会被简化或者遗漏，从而造成财务人员无法对业务的真实性与合理性做出判断。同时部分国有企业没有建立起完善的跨部门工作机制，对于业务端报送信息的内容、格式、时限、财务端处理流程、审核标准等没有形成统一的规范，业财协同是松散的。</w:t>
      </w:r>
    </w:p>
    <w:p w14:paraId="493F46BA">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（二）风险管理关键领域存在覆盖盲区</w:t>
      </w:r>
    </w:p>
    <w:p w14:paraId="7085374F">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资金风险具有隐蔽性、传导性，需要建立跨系统、跨部门的信息整合体系来应对。目前一些国企对于资金管理仍然把重点放在了对资金收付业务的合规性审核上，缺少对复杂的交易组合和资金往来方式的深入分析，不能准确找到其中隐藏的风险点。随着投融资管理、外币结算等专业性较强的业务被财务共享中心所处理，原有的以收付审核为主的风控体系就存在着明显的覆盖盲区，对于信用风险、市场风险以及流动性风险的识别和应对能力欠缺。另外一些国企依靠财务共享中心实施内部资金流向的监控，对于外界市场环境变化以及政策调整所造成的系统性风险的感知比较迟缓，财务共享中心同业务、风控、内审等各个部门的联动监督机制还没有完全形成，风险管理还处在事后核查的阶段，事前预警和事中控制的功能还没有充分发挥出来</w:t>
      </w:r>
      <w:r>
        <w:rPr>
          <w:rFonts w:ascii="宋体" w:eastAsia="宋体" w:hAnsi="宋体" w:hint="eastAsia"/>
          <w:color w:val="0000FF"/>
          <w:sz w:val="20"/>
          <w:vertAlign w:val="superscript"/>
          <w:lang w:val="en-US" w:eastAsia="zh-CN"/>
        </w:rPr>
        <w:t>[2]</w:t>
      </w:r>
      <w:r>
        <w:rPr>
          <w:rFonts w:ascii="宋体" w:eastAsia="宋体" w:hAnsi="宋体" w:hint="eastAsia"/>
          <w:color w:val="0000FF"/>
          <w:sz w:val="20"/>
        </w:rPr>
        <w:t>。</w:t>
      </w:r>
    </w:p>
    <w:p w14:paraId="5AAEE607">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（三）复合型人才供给与岗位需求存在错配</w:t>
      </w:r>
    </w:p>
    <w:p w14:paraId="73AA49B1">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财务共享中心集约化运作模式，对从业人员的知识结构和能力边界有不同于传统财务岗位的要求。目前部分国企财务共享中心员工长期处于单一、固定的基层事务中，对于资金业务中的关键环节的把控不到位，造成单据信息核对有遗漏，资金流向追溯不完整等现象时有发生。岗位高度专业化虽然可以提高操作熟练度，但是也会使员工视野变窄。财务数字化转型不断推进，对员工在数据收集、统计分析以及数字化工具使用等各方面的技能提出了更高的要求，但是很多员工的数字化技能储备较少，不能熟练使用数据分析工具对资金数据进行整合和挖掘。除此之外，部分员工对沟通协调、服务意识等各方面存在不足，不能及时对业务部门的咨询和问题做出回应，造成人才能力结构同岗位需求之间存在错配现象，从而成为影响资金管理效能提高的因素。</w:t>
      </w:r>
    </w:p>
    <w:p w14:paraId="43BA686E">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（四）绩效考核导向偏差制约价值创造功能</w:t>
      </w:r>
    </w:p>
    <w:p w14:paraId="4252760B">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绩效考核是组织行为的指</w:t>
      </w:r>
      <w:r>
        <w:rPr>
          <w:rFonts w:ascii="宋体" w:eastAsia="宋体" w:hAnsi="宋体" w:hint="eastAsia"/>
          <w:color w:val="0000FF"/>
          <w:sz w:val="20"/>
          <w:lang w:eastAsia="zh-CN"/>
        </w:rPr>
        <w:t>挥</w:t>
      </w:r>
      <w:r>
        <w:rPr>
          <w:rFonts w:ascii="宋体" w:eastAsia="宋体" w:hAnsi="宋体" w:hint="eastAsia"/>
          <w:color w:val="0000FF"/>
          <w:sz w:val="20"/>
        </w:rPr>
        <w:t>棒，它</w:t>
      </w:r>
      <w:r>
        <w:rPr>
          <w:rFonts w:ascii="宋体" w:eastAsia="宋体" w:hAnsi="宋体" w:hint="eastAsia"/>
          <w:color w:val="0000FF"/>
          <w:sz w:val="20"/>
          <w:lang w:eastAsia="zh-CN"/>
        </w:rPr>
        <w:t>所</w:t>
      </w:r>
      <w:r>
        <w:rPr>
          <w:rFonts w:ascii="宋体" w:eastAsia="宋体" w:hAnsi="宋体" w:hint="eastAsia"/>
          <w:color w:val="0000FF"/>
          <w:sz w:val="20"/>
        </w:rPr>
        <w:t>设定的指标会直接影响到资金管理功能发挥的方向。目前一些国企在绩效考核目标的设定上注重于基础操作层面，考核内容大多集中于业务处理数量和速度上，对于资金管理工作安全、合规、效益等价值的关注较少，造成员工只重视业务</w:t>
      </w:r>
      <w:r>
        <w:rPr>
          <w:rFonts w:ascii="宋体" w:eastAsia="宋体" w:hAnsi="宋体" w:hint="eastAsia"/>
          <w:color w:val="0000FF"/>
          <w:sz w:val="20"/>
          <w:lang w:eastAsia="zh-CN"/>
        </w:rPr>
        <w:t>处</w:t>
      </w:r>
      <w:r>
        <w:rPr>
          <w:rFonts w:ascii="宋体" w:eastAsia="宋体" w:hAnsi="宋体" w:hint="eastAsia"/>
          <w:color w:val="0000FF"/>
          <w:sz w:val="20"/>
        </w:rPr>
        <w:t>理</w:t>
      </w:r>
      <w:r>
        <w:rPr>
          <w:rFonts w:ascii="宋体" w:eastAsia="宋体" w:hAnsi="宋体" w:hint="eastAsia"/>
          <w:color w:val="0000FF"/>
          <w:sz w:val="20"/>
          <w:lang w:eastAsia="zh-CN"/>
        </w:rPr>
        <w:t>的</w:t>
      </w:r>
      <w:r>
        <w:rPr>
          <w:rFonts w:ascii="宋体" w:eastAsia="宋体" w:hAnsi="宋体" w:hint="eastAsia"/>
          <w:color w:val="0000FF"/>
          <w:sz w:val="20"/>
        </w:rPr>
        <w:t>快</w:t>
      </w:r>
      <w:r>
        <w:rPr>
          <w:rFonts w:ascii="宋体" w:eastAsia="宋体" w:hAnsi="宋体" w:hint="eastAsia"/>
          <w:color w:val="0000FF"/>
          <w:sz w:val="20"/>
          <w:lang w:eastAsia="zh-CN"/>
        </w:rPr>
        <w:t>、</w:t>
      </w:r>
      <w:r>
        <w:rPr>
          <w:rFonts w:ascii="宋体" w:eastAsia="宋体" w:hAnsi="宋体" w:hint="eastAsia"/>
          <w:color w:val="0000FF"/>
          <w:sz w:val="20"/>
        </w:rPr>
        <w:t>多</w:t>
      </w:r>
      <w:r>
        <w:rPr>
          <w:rFonts w:ascii="宋体" w:eastAsia="宋体" w:hAnsi="宋体" w:hint="eastAsia"/>
          <w:color w:val="0000FF"/>
          <w:sz w:val="20"/>
          <w:lang w:eastAsia="zh-CN"/>
        </w:rPr>
        <w:t>，</w:t>
      </w:r>
      <w:r>
        <w:rPr>
          <w:rFonts w:ascii="宋体" w:eastAsia="宋体" w:hAnsi="宋体" w:hint="eastAsia"/>
          <w:color w:val="0000FF"/>
          <w:sz w:val="20"/>
        </w:rPr>
        <w:t>忽视了对资金风险的识别和防范、资金使用效益的分析等工作。考核指标设置也有不够细致之处，部分定性指标缺少可衡量的评判准则，不同岗位使用同样的考核标准，资金结算岗、资金分析岗和风险管理岗的工作特点大相径庭，统一标准无法全面体现员工的实际贡献。考核结果同激励机制联系不大，优秀员工的价值贡献不能得到充分的肯定，进而降低了员工提高工作质量的积极性。</w:t>
      </w:r>
    </w:p>
    <w:p w14:paraId="297A70BE">
      <w:pPr>
        <w:adjustRightInd w:val="0"/>
        <w:spacing w:before="100" w:after="60" w:line="360" w:lineRule="exact"/>
        <w:jc w:val="left"/>
        <w:rPr>
          <w:rFonts w:ascii="黑体" w:eastAsia="黑体" w:hAnsi="黑体" w:hint="eastAsia"/>
          <w:color w:val="0000FF"/>
          <w:sz w:val="24"/>
          <w:lang w:val="en-US" w:eastAsia="zh-CN"/>
        </w:rPr>
      </w:pPr>
      <w:r>
        <w:rPr>
          <w:rFonts w:ascii="黑体" w:eastAsia="黑体" w:hAnsi="黑体" w:hint="eastAsia"/>
          <w:color w:val="0000FF"/>
          <w:sz w:val="24"/>
          <w:lang w:val="en-US" w:eastAsia="zh-CN"/>
        </w:rPr>
        <w:t>四、财务共享中心模式赋能国企资金管理的优化路径</w:t>
      </w:r>
    </w:p>
    <w:p w14:paraId="71AB0335">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（一）构建业财一体化的资金管理平台</w:t>
      </w:r>
    </w:p>
    <w:p w14:paraId="44A38C83">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平台一体化就是打破业务系统和资金管理系统之间数据壁垒，实现资金运动信息全流程在线流转。国企可以创建起一个由高层决策</w:t>
      </w:r>
      <w:r>
        <w:rPr>
          <w:rFonts w:ascii="宋体" w:eastAsia="宋体" w:hAnsi="宋体" w:hint="eastAsia"/>
          <w:color w:val="0000FF"/>
          <w:sz w:val="20"/>
          <w:lang w:eastAsia="zh-CN"/>
        </w:rPr>
        <w:t>、平</w:t>
      </w:r>
      <w:r>
        <w:rPr>
          <w:rFonts w:ascii="宋体" w:eastAsia="宋体" w:hAnsi="宋体" w:hint="eastAsia"/>
          <w:color w:val="0000FF"/>
          <w:sz w:val="20"/>
        </w:rPr>
        <w:t>台运作和业务执行这三级构成的</w:t>
      </w:r>
      <w:r>
        <w:rPr>
          <w:rFonts w:ascii="宋体" w:eastAsia="宋体" w:hAnsi="宋体" w:hint="eastAsia"/>
          <w:color w:val="0000FF"/>
          <w:sz w:val="20"/>
          <w:lang w:eastAsia="zh-CN"/>
        </w:rPr>
        <w:t>管</w:t>
      </w:r>
      <w:r>
        <w:rPr>
          <w:rFonts w:ascii="宋体" w:eastAsia="宋体" w:hAnsi="宋体" w:hint="eastAsia"/>
          <w:color w:val="0000FF"/>
          <w:sz w:val="20"/>
        </w:rPr>
        <w:t>理体系，高层决策层制订总体战略和技术标准，平台运营层负责资金管理平台的维护、操作和监控，各个业务单元依照既定的规则去开展具体的业务活动。在此框架之下，着力实现制度、流程、系统、标准这四个方面的一致。根据不同的资金流出业务类型（材料设备采购付款、日常费用报销等）来整理各个业务场景的操作规范，确定信息内容、格式要求、提交时限等，使从业务发起、审批流转、合规审核到银行结算的每一个环节都可以在线上完成，并且可以被完整地记录下来。创建统一的数据规范，即标准化的账务处理手册、主数据统一编码规则、不同种类、金额支付业务对应的审批权限和判断条件等，从源头上保证数据的一致性、可用性</w:t>
      </w:r>
      <w:r>
        <w:rPr>
          <w:rFonts w:ascii="宋体" w:eastAsia="宋体" w:hAnsi="宋体" w:hint="eastAsia"/>
          <w:color w:val="0000FF"/>
          <w:sz w:val="20"/>
          <w:vertAlign w:val="superscript"/>
          <w:lang w:val="en-US" w:eastAsia="zh-CN"/>
        </w:rPr>
        <w:t>[3]</w:t>
      </w:r>
      <w:r>
        <w:rPr>
          <w:rFonts w:ascii="宋体" w:eastAsia="宋体" w:hAnsi="宋体" w:hint="eastAsia"/>
          <w:color w:val="0000FF"/>
          <w:sz w:val="20"/>
        </w:rPr>
        <w:t>。</w:t>
      </w:r>
    </w:p>
    <w:p w14:paraId="64F16B89">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（二）建立全链条的风险动态管控机制</w:t>
      </w:r>
    </w:p>
    <w:p w14:paraId="00F8328B">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风险动态管控的关键之处在于把风险识别的要求融入到业务流程节点当中，从而达成由被动应对转向主动预警的转变。国企应以防止资金损失、保证操作合规、提高使用效率为出发点，确定具体的量化控制指标，根据不同的资金业务风险特点合理划分风险等级，对投融资、大额支付、跨境结算等高风险领域实行专项管控清单，把风险识别规则嵌入到资金管理平台的各个流程节点之中。就具体的操作而言，对长期没有发生交易的账户发出提示，对大额资金支付到个人账户、短时间内向同一个收款方多次支付等异常情况自动筛查，对融资综合成本超过设定的阈值、短期债务占比过高等情况实时发出预警。创建风险台账，对预警信息、处置过程和最终结果实施全过程追踪，确定责任主体和响应时限。创建财务共享中心同业务、风控、内审等各方面的联动响应机制，定时对资金数据和业务项目信息进行汇总，由风控部门牵头开展风险评价并及时更新管控方案。</w:t>
      </w:r>
    </w:p>
    <w:p w14:paraId="396BF48E">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（三）培育适配数字化转型的复合型人才梯队</w:t>
      </w:r>
    </w:p>
    <w:p w14:paraId="0E4AF1BE">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人才能力的提升，就是财务共享中心</w:t>
      </w:r>
      <w:r>
        <w:rPr>
          <w:rFonts w:ascii="宋体" w:eastAsia="宋体" w:hAnsi="宋体" w:hint="eastAsia"/>
          <w:color w:val="0000FF"/>
          <w:sz w:val="20"/>
          <w:lang w:eastAsia="zh-CN"/>
        </w:rPr>
        <w:t>由</w:t>
      </w:r>
      <w:r>
        <w:rPr>
          <w:rFonts w:ascii="宋体" w:eastAsia="宋体" w:hAnsi="宋体" w:hint="eastAsia"/>
          <w:color w:val="0000FF"/>
          <w:sz w:val="20"/>
        </w:rPr>
        <w:t>“核算工</w:t>
      </w:r>
      <w:r>
        <w:rPr>
          <w:rFonts w:ascii="宋体" w:eastAsia="宋体" w:hAnsi="宋体" w:hint="eastAsia"/>
          <w:color w:val="0000FF"/>
          <w:sz w:val="20"/>
          <w:lang w:eastAsia="zh-CN"/>
        </w:rPr>
        <w:t>厂</w:t>
      </w:r>
      <w:r>
        <w:rPr>
          <w:rFonts w:ascii="宋体" w:eastAsia="宋体" w:hAnsi="宋体" w:hint="eastAsia"/>
          <w:color w:val="0000FF"/>
          <w:sz w:val="20"/>
        </w:rPr>
        <w:t>”</w:t>
      </w:r>
      <w:r>
        <w:rPr>
          <w:rFonts w:ascii="宋体" w:eastAsia="宋体" w:hAnsi="宋体" w:hint="eastAsia"/>
          <w:color w:val="0000FF"/>
          <w:sz w:val="20"/>
          <w:lang w:eastAsia="zh-CN"/>
        </w:rPr>
        <w:t>向</w:t>
      </w:r>
      <w:r>
        <w:rPr>
          <w:rFonts w:ascii="宋体" w:eastAsia="宋体" w:hAnsi="宋体" w:hint="eastAsia"/>
          <w:color w:val="0000FF"/>
          <w:sz w:val="20"/>
        </w:rPr>
        <w:t>“价值创造中</w:t>
      </w:r>
      <w:r>
        <w:rPr>
          <w:rFonts w:ascii="宋体" w:eastAsia="宋体" w:hAnsi="宋体" w:hint="eastAsia"/>
          <w:color w:val="0000FF"/>
          <w:sz w:val="20"/>
          <w:lang w:eastAsia="zh-CN"/>
        </w:rPr>
        <w:t>心</w:t>
      </w:r>
      <w:r>
        <w:rPr>
          <w:rFonts w:ascii="宋体" w:eastAsia="宋体" w:hAnsi="宋体" w:hint="eastAsia"/>
          <w:color w:val="0000FF"/>
          <w:sz w:val="20"/>
        </w:rPr>
        <w:t>”转变的根基。国企在人员选拔时要适当提高标准，除了考察财务会计专业知识和技能外，还要重视数字化工具的操作、数据整合分析、跨部门沟通等综合能力，积极吸纳有银行等金融机构或者大型企业财务部门从业经验的人员，改善团队的知识结构。培训体系要兼顾知识更新和技能提高，及时了解财税政策及资金监管规则的变化，定期请外请专家做财税政策及资金监管规则的解读培训；针对数字化能力欠缺，开设资金管理平台操作、数据统计分析工具应用等专项课程，采取实操加案例的形式来帮助员工掌握技能。重视培养沟通服务意识，用案例讲解、情景模拟的方式提高员工对接业务部门的能力。创建轮岗交流机制，使员工参与资金管理各个环节的工作，防止长期固定岗位造成的能力局限，扩大业务视野。</w:t>
      </w:r>
    </w:p>
    <w:p w14:paraId="1F73316B">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rPr>
        <w:t>（四）重构战略导向的绩效考核体系</w:t>
      </w:r>
    </w:p>
    <w:p w14:paraId="3A9F9A4D">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rPr>
        <w:t>绩效考核体系的重新塑造要在企业总体战略架构里，重新塑造资金管理岗位价值创造的方面。根据不同的业务板块、不同的岗位设置不同的考核指标，对于处于市场开拓期的新业务主要考核成长性指标和资金使用效率，待业务成熟后重点考核盈利能力、成本控制水平。把考核结果同激励机制直接联系起来，对于表现优秀的员工除了现金奖励之外，还可以提供良好的培训资源、优先轮岗的机会等发展类激励。在考核标准的制定过程中加入战略导向，不能只看重短期的财务指标，还要把资金长期的价值创造能力、流动性安全等指标加入到考核体系当中来，促使员工既看重当下的经营效益，也顾及到企业的长远资金需求，保证资金管理工作一直同企业的整体发展趋向一致</w:t>
      </w:r>
      <w:r>
        <w:rPr>
          <w:rFonts w:ascii="宋体" w:eastAsia="宋体" w:hAnsi="宋体" w:hint="eastAsia"/>
          <w:color w:val="0000FF"/>
          <w:sz w:val="20"/>
          <w:vertAlign w:val="superscript"/>
          <w:lang w:val="en-US" w:eastAsia="zh-CN"/>
        </w:rPr>
        <w:t>[4]</w:t>
      </w:r>
      <w:r>
        <w:rPr>
          <w:rFonts w:ascii="宋体" w:eastAsia="宋体" w:hAnsi="宋体" w:hint="eastAsia"/>
          <w:color w:val="0000FF"/>
          <w:sz w:val="20"/>
        </w:rPr>
        <w:t>。</w:t>
      </w:r>
    </w:p>
    <w:p w14:paraId="4C5A8C52">
      <w:pPr>
        <w:adjustRightInd w:val="0"/>
        <w:spacing w:before="100" w:after="60" w:line="360" w:lineRule="exact"/>
        <w:jc w:val="left"/>
        <w:rPr>
          <w:rFonts w:ascii="黑体" w:eastAsia="黑体" w:hAnsi="黑体" w:hint="eastAsia"/>
          <w:color w:val="0000FF"/>
          <w:sz w:val="24"/>
          <w:lang w:val="en-US" w:eastAsia="zh-CN"/>
        </w:rPr>
      </w:pPr>
      <w:r>
        <w:rPr>
          <w:rFonts w:ascii="黑体" w:eastAsia="黑体" w:hAnsi="黑体" w:hint="eastAsia"/>
          <w:color w:val="0000FF"/>
          <w:sz w:val="24"/>
          <w:lang w:val="en-US" w:eastAsia="zh-CN"/>
        </w:rPr>
        <w:t>五、结论</w:t>
      </w:r>
    </w:p>
    <w:p w14:paraId="78897B97">
      <w:pPr>
        <w:spacing w:line="340" w:lineRule="exact"/>
        <w:ind w:firstLine="400" w:firstLineChars="200"/>
      </w:pPr>
      <w:r>
        <w:rPr>
          <w:rFonts w:ascii="宋体" w:eastAsia="宋体" w:hAnsi="宋体" w:hint="eastAsia"/>
          <w:color w:val="0000FF"/>
          <w:sz w:val="20"/>
        </w:rPr>
        <w:t>财务共享中心模式给国企资金管理带来的不只是操作流程的集中化，更是管理理念、组织架构和运行机制的系统性变革。根据流程再造理论、资源基础理论和规模经济理论，从技术、组织、人、制度四个方面来建立分析框架，对目前国企资金管理运行状况进行系统的诊断。从研究结果可以看出，由于业财系统衔接不畅造成的数据流转损耗、风险管理关键领域存在空白、复合型人才供给与岗位需求相脱离、绩效考核导向存在偏差，这些都是造成财务共享中心赋能效应不能充分发挥的主要原因。针对以上问题，本文从建立业财一体化资金管理平台、创建全链条风险动态管控机制、培育复合型人才梯队、重新塑造战略导向绩效考核体系这四个方面给出改进方案</w:t>
      </w:r>
      <w:r>
        <w:rPr>
          <w:rFonts w:ascii="宋体" w:eastAsia="宋体" w:hAnsi="宋体" w:hint="eastAsia"/>
          <w:sz w:val="20"/>
        </w:rPr>
        <w:t>。</w:t>
      </w:r>
    </w:p>
    <w:p w14:paraId="736F4F2B">
      <w:pPr>
        <w:adjustRightInd w:val="0"/>
        <w:spacing w:before="312" w:beforeLines="100" w:line="360" w:lineRule="exact"/>
        <w:jc w:val="center"/>
        <w:rPr>
          <w:rFonts w:ascii="黑体" w:eastAsia="黑体" w:hAnsi="黑体"/>
        </w:rPr>
        <w:sectPr>
          <w:type w:val="continuous"/>
          <w:pgSz w:w="11906" w:h="16838"/>
          <w:pgMar w:top="1440" w:right="1077" w:bottom="1440" w:left="1077" w:header="851" w:footer="992" w:gutter="0"/>
          <w:pgNumType w:fmt="numberInDash"/>
          <w:cols w:num="2" w:space="420"/>
          <w:docGrid w:type="lines" w:linePitch="312" w:charSpace="0"/>
        </w:sectPr>
      </w:pPr>
    </w:p>
    <w:p w14:paraId="1030CC2B">
      <w:pPr>
        <w:spacing w:line="340" w:lineRule="exact"/>
        <w:rPr>
          <w:color w:val="FF0000"/>
        </w:rPr>
      </w:pPr>
    </w:p>
    <w:p w14:paraId="5373F122">
      <w:pPr>
        <w:spacing w:line="340" w:lineRule="exact"/>
        <w:rPr>
          <w:color w:val="FF0000"/>
        </w:rPr>
      </w:pPr>
    </w:p>
    <w:sectPr>
      <w:type w:val="continuous"/>
      <w:pgSz w:w="11906" w:h="16838"/>
      <w:pgMar w:top="1440" w:right="1077" w:bottom="1440" w:left="1077" w:header="851" w:footer="992" w:gutter="0"/>
      <w:pgNumType w:fmt="numberInDash"/>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CABFDB7">
    <w:pPr>
      <w:spacing w:line="240" w:lineRule="exact"/>
      <w:jc w:val="left"/>
      <w:rPr>
        <w:rFonts w:ascii="Calibri" w:hAnsi="Calibri" w:cs="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5E16D94">
    <w:pPr>
      <w:spacing w:line="240" w:lineRule="exact"/>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E203A4F">
    <w:pPr>
      <w:snapToGrid w:val="0"/>
      <w:spacing w:line="240" w:lineRule="exact"/>
      <w:jc w:val="left"/>
      <w:rPr>
        <w:rFonts w:ascii="楷体" w:eastAsia="楷体" w:hAnsi="楷体" w:cs="Calibri"/>
        <w:sz w:val="18"/>
        <w:szCs w:val="18"/>
      </w:rPr>
    </w:pPr>
  </w:p>
  <w:p w14:paraId="40E7590D">
    <w:pPr>
      <w:snapToGrid w:val="0"/>
      <w:spacing w:line="240" w:lineRule="exact"/>
      <w:jc w:val="left"/>
      <w:rPr>
        <w:rFonts w:ascii="楷体" w:eastAsia="楷体" w:hAnsi="楷体" w:cs="Calibri" w:hint="eastAsia"/>
        <w:sz w:val="18"/>
        <w:szCs w:val="18"/>
      </w:rPr>
    </w:pPr>
    <w:r>
      <w:rPr>
        <w:rFonts w:ascii="楷体" w:eastAsia="楷体" w:hAnsi="楷体" w:cs="Calibri" w:hint="eastAsia"/>
        <w:sz w:val="18"/>
        <w:szCs w:val="18"/>
      </w:rPr>
      <w:t>作者简介：徐强（1988—），男，汉族，山东东营人，硕士研究生学历，研究方向为资金及结算管理。</w:t>
    </w:r>
  </w:p>
  <w:p w14:paraId="27542783">
    <w:pPr>
      <w:snapToGrid w:val="0"/>
      <w:spacing w:line="240" w:lineRule="exact"/>
      <w:jc w:val="left"/>
      <w:rPr>
        <w:rFonts w:ascii="楷体" w:eastAsia="楷体" w:hAnsi="楷体" w:cs="Calibri"/>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27D7840">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中文科技期刊数据库（全文版）经济管理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927FCA8">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中文科技期刊数据库（全文版）经济管理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FB3081F">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中文科技期刊数据库（全文版）经济管理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590"/>
    <w:rsid w:val="003A7808"/>
    <w:rsid w:val="003D7590"/>
    <w:rsid w:val="00BA3BF6"/>
    <w:rsid w:val="00D02FE4"/>
    <w:rsid w:val="06DC5205"/>
    <w:rsid w:val="0F0C0278"/>
    <w:rsid w:val="17AF1F1F"/>
    <w:rsid w:val="19AF7825"/>
    <w:rsid w:val="1D395D99"/>
    <w:rsid w:val="2B4E0E21"/>
    <w:rsid w:val="2BD66E93"/>
    <w:rsid w:val="2D66524B"/>
    <w:rsid w:val="3387182C"/>
    <w:rsid w:val="48406F77"/>
    <w:rsid w:val="5BB73B71"/>
    <w:rsid w:val="5C2D6ABD"/>
    <w:rsid w:val="682704B5"/>
    <w:rsid w:val="710F12C5"/>
    <w:rsid w:val="739F37F0"/>
    <w:rsid w:val="77CF49C0"/>
    <w:rsid w:val="7F6D55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link w:val="1"/>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Header">
    <w:name w:val="header"/>
    <w:basedOn w:val="Normal"/>
    <w:link w:val="a"/>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 w:type="character" w:customStyle="1" w:styleId="a">
    <w:name w:val="页眉 字符"/>
    <w:basedOn w:val="DefaultParagraphFont"/>
    <w:link w:val="Header"/>
    <w:qFormat/>
    <w:rPr>
      <w:rFonts w:asciiTheme="minorHAnsi" w:eastAsiaTheme="minorEastAsia" w:hAnsiTheme="minorHAnsi" w:cstheme="minorBidi"/>
      <w:kern w:val="2"/>
      <w:sz w:val="18"/>
      <w:szCs w:val="18"/>
    </w:rPr>
  </w:style>
  <w:style w:type="character" w:customStyle="1" w:styleId="a0">
    <w:name w:val="页脚 字符"/>
    <w:basedOn w:val="DefaultParagraphFont"/>
    <w:qFormat/>
    <w:rPr>
      <w:rFonts w:asciiTheme="minorHAnsi" w:eastAsiaTheme="minorEastAsia" w:hAnsiTheme="minorHAnsi" w:cstheme="minorBidi"/>
      <w:kern w:val="2"/>
      <w:sz w:val="18"/>
      <w:szCs w:val="18"/>
    </w:rPr>
  </w:style>
  <w:style w:type="character" w:customStyle="1" w:styleId="1">
    <w:name w:val="标题 1 字符"/>
    <w:basedOn w:val="DefaultParagraphFont"/>
    <w:link w:val="Heading1"/>
    <w:qFormat/>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81c30a97-4fe7-45af-bec7-ea75d50fe297</errorID>
      <errorWord>操作合</errorWord>
      <group>L1_Word</group>
      <groupName>字词问题</groupName>
      <ability>L2_Typo</ability>
      <abilityName>字词错误</abilityName>
      <candidateList>
        <item>操作台</item>
      </candidateList>
      <explain/>
      <paraID>  F8328B</paraID>
      <start>57</start>
      <end>60</end>
      <status>ignored</status>
      <modifiedWord/>
      <trackRevisions>false</trackRevisions>
    </reviewItem>
    <reviewItem>
      <errorID>9129eb75-6562-413e-9bdd-bb12e61c2d89</errorID>
      <errorWord>银行等金融机构</errorWord>
      <group>L1_Political</group>
      <groupName>政治性问题</groupName>
      <ability>L2_Keyword</ability>
      <abilityName>固定表述</abilityName>
      <candidateList>
        <item>银行业金融机构</item>
      </candidateList>
      <explain>词汇“银行业金融机构”在特定场景下为固定表述形式，请确认此处的“银行等金融机构”是否存在不当。</explain>
      <paraID> E4AF1BE</paraID>
      <start>107</start>
      <end>114</end>
      <status>ignored</status>
      <modifiedWord/>
      <trackRevisions>false</trackRevisions>
    </reviewItem>
  </reviewItems>
  <config/>
</contractReview>
</file>

<file path=customXml/itemProps1.xml><?xml version="1.0" encoding="utf-8"?>
<ds:datastoreItem xmlns:ds="http://schemas.openxmlformats.org/officeDocument/2006/customXml" ds:itemID="{07ab2f2d-fab4-4365-bdca-c90101e05e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5217</Words>
  <Characters>5387</Characters>
  <Application>Microsoft Office Word</Application>
  <DocSecurity>0</DocSecurity>
  <Lines>39</Lines>
  <Paragraphs>11</Paragraphs>
  <ScaleCrop>false</ScaleCrop>
  <Company>Aliyun</Company>
  <LinksUpToDate>false</LinksUpToDate>
  <CharactersWithSpaces>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2</cp:revision>
  <dcterms:created xsi:type="dcterms:W3CDTF">2026-07-22T01:03:00Z</dcterms:created>
  <dcterms:modified xsi:type="dcterms:W3CDTF">2026-08-18T06:04:34Z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AA52C499843A481C8D995BDF30C2A53E_13</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