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292ADBCC">
      <w:pPr>
        <w:pStyle w:val="Heading3"/>
        <w:widowControl/>
        <w:snapToGrid w:val="0"/>
        <w:spacing w:beforeAutospacing="0" w:afterAutospacing="0" w:line="360" w:lineRule="auto"/>
        <w:ind w:firstLine="420" w:firstLineChars="200"/>
        <w:jc w:val="both"/>
        <w:rPr>
          <w:rFonts w:ascii="Times New Roman" w:hAnsi="Times New Roman" w:hint="default"/>
          <w:color w:val="000000"/>
          <w:sz w:val="21"/>
          <w:szCs w:val="21"/>
        </w:rPr>
      </w:pPr>
      <w:r>
        <w:rPr>
          <w:rFonts w:ascii="Times New Roman" w:hAnsi="Times New Roman" w:hint="default"/>
          <w:color w:val="000000"/>
          <w:sz w:val="21"/>
          <w:szCs w:val="21"/>
        </w:rPr>
        <w:t>2.1调查对象</w:t>
      </w:r>
    </w:p>
    <w:p w14:paraId="107A69E1">
      <w:pPr>
        <w:widowControl/>
        <w:snapToGrid w:val="0"/>
        <w:spacing w:line="360" w:lineRule="auto"/>
        <w:ind w:firstLine="420" w:firstLineChars="200"/>
        <w:rPr>
          <w:rFonts w:ascii="Times New Roman" w:eastAsia="宋体" w:hAnsi="Times New Roman" w:cs="Times New Roman"/>
          <w:b/>
          <w:bCs/>
          <w:color w:val="0000FF"/>
          <w:szCs w:val="21"/>
        </w:rPr>
      </w:pPr>
      <w:r>
        <w:rPr>
          <w:rFonts w:ascii="Times New Roman" w:eastAsia="宋体" w:hAnsi="Times New Roman" w:cs="Times New Roman"/>
          <w:b/>
          <w:bCs/>
          <w:color w:val="0000FF"/>
          <w:kern w:val="0"/>
          <w:szCs w:val="21"/>
          <w:lang w:bidi="ar"/>
        </w:rPr>
        <w:t>本次调查的样本为智能环保装备技术专业2022级、2023级、2024级全部学生，共216人，包含装备221、222、231、232、241、242六个教学班的学生，包含不同年级、不同学习层次的学生，线上学习、课堂出勤、作业考试完成差异化表现，同时收集一线授课人员、实训指导人员在岗位对接、竞赛辅导、课堂思政落地层面的实际教学反馈。</w:t>
      </w:r>
    </w:p>
    <w:p w14:paraId="1E970376">
      <w:pPr>
        <w:pStyle w:val="Heading2"/>
        <w:widowControl/>
        <w:snapToGrid w:val="0"/>
        <w:spacing w:beforeAutospacing="0" w:afterAutospacing="0" w:line="360" w:lineRule="auto"/>
        <w:ind w:firstLine="420" w:firstLineChars="200"/>
        <w:jc w:val="both"/>
        <w:rPr>
          <w:rFonts w:ascii="Times New Roman" w:hAnsi="Times New Roman" w:hint="default"/>
          <w:color w:val="000000"/>
          <w:sz w:val="21"/>
          <w:szCs w:val="21"/>
        </w:rPr>
      </w:pPr>
    </w:p>
    <w:p w14:paraId="17B42EEC">
      <w:pPr>
        <w:pStyle w:val="Heading2"/>
        <w:widowControl/>
        <w:snapToGrid w:val="0"/>
        <w:spacing w:beforeAutospacing="0" w:afterAutospacing="0" w:line="360" w:lineRule="auto"/>
        <w:ind w:firstLine="420" w:firstLineChars="200"/>
        <w:jc w:val="both"/>
        <w:rPr>
          <w:rFonts w:ascii="Times New Roman" w:hAnsi="Times New Roman" w:hint="default"/>
          <w:color w:val="000000"/>
          <w:sz w:val="21"/>
          <w:szCs w:val="21"/>
        </w:rPr>
      </w:pPr>
      <w:r>
        <w:rPr>
          <w:rFonts w:ascii="Times New Roman" w:hAnsi="Times New Roman" w:hint="default"/>
          <w:color w:val="000000"/>
          <w:sz w:val="21"/>
          <w:szCs w:val="21"/>
        </w:rPr>
        <w:t>4存在的主要问题</w:t>
      </w:r>
    </w:p>
    <w:p w14:paraId="3CF568C6">
      <w:pPr>
        <w:pStyle w:val="Heading2"/>
        <w:widowControl/>
        <w:snapToGrid w:val="0"/>
        <w:spacing w:beforeAutospacing="0" w:afterAutospacing="0" w:line="360" w:lineRule="auto"/>
        <w:ind w:firstLine="420" w:firstLineChars="200"/>
        <w:jc w:val="both"/>
        <w:rPr>
          <w:rFonts w:ascii="Times New Roman" w:hAnsi="Times New Roman" w:hint="default"/>
          <w:b/>
          <w:bCs/>
          <w:color w:val="000000"/>
          <w:sz w:val="21"/>
          <w:szCs w:val="21"/>
        </w:rPr>
      </w:pPr>
      <w:r>
        <w:rPr>
          <w:rFonts w:ascii="Times New Roman" w:hAnsi="Times New Roman" w:hint="eastAsia"/>
          <w:b/>
          <w:bCs/>
          <w:color w:val="000000"/>
          <w:sz w:val="21"/>
          <w:szCs w:val="21"/>
          <w:lang w:eastAsia="zh-CN"/>
        </w:rPr>
        <w:t>岗</w:t>
      </w:r>
      <w:r>
        <w:rPr>
          <w:rFonts w:ascii="Times New Roman" w:hAnsi="Times New Roman" w:hint="default"/>
          <w:b/>
          <w:bCs/>
          <w:color w:val="000000"/>
          <w:sz w:val="21"/>
          <w:szCs w:val="21"/>
        </w:rPr>
        <w:t>课赛思</w:t>
      </w:r>
      <w:r>
        <w:rPr>
          <w:rFonts w:ascii="Times New Roman" w:hAnsi="Times New Roman" w:hint="eastAsia"/>
          <w:b/>
          <w:bCs/>
          <w:color w:val="000000"/>
          <w:sz w:val="21"/>
          <w:szCs w:val="21"/>
          <w:lang w:eastAsia="zh-CN"/>
        </w:rPr>
        <w:t>一</w:t>
      </w:r>
      <w:r>
        <w:rPr>
          <w:rFonts w:ascii="Times New Roman" w:hAnsi="Times New Roman" w:hint="default"/>
          <w:b/>
          <w:bCs/>
          <w:color w:val="000000"/>
          <w:sz w:val="21"/>
          <w:szCs w:val="21"/>
        </w:rPr>
        <w:t>体化育人体系落地成效是由课程内容、教学模式、授课方法、考核评价四个环节共同支撑，调研数据综合研判之后</w:t>
      </w:r>
      <w:r>
        <w:rPr>
          <w:rFonts w:ascii="Times New Roman" w:hAnsi="Times New Roman"/>
          <w:b/>
          <w:bCs/>
          <w:color w:val="000000"/>
          <w:sz w:val="21"/>
          <w:szCs w:val="21"/>
        </w:rPr>
        <w:t>，</w:t>
      </w:r>
      <w:r>
        <w:rPr>
          <w:rFonts w:ascii="Times New Roman" w:hAnsi="Times New Roman" w:hint="default"/>
          <w:b/>
          <w:bCs/>
          <w:color w:val="000000"/>
          <w:sz w:val="21"/>
          <w:szCs w:val="21"/>
        </w:rPr>
        <w:t>课程整体存在四个关联</w:t>
      </w:r>
      <w:r>
        <w:rPr>
          <w:rFonts w:ascii="Times New Roman" w:hAnsi="Times New Roman" w:hint="default"/>
          <w:b/>
          <w:bCs/>
          <w:color w:val="000000"/>
          <w:sz w:val="21"/>
          <w:szCs w:val="21"/>
        </w:rPr>
        <w:t>性比较突出的实施短板，即教学内容分层适配性欠</w:t>
      </w:r>
      <w:r>
        <w:rPr>
          <w:rFonts w:ascii="Times New Roman" w:hAnsi="Times New Roman" w:hint="eastAsia"/>
          <w:b/>
          <w:bCs/>
          <w:color w:val="000000"/>
          <w:sz w:val="21"/>
          <w:szCs w:val="21"/>
          <w:lang w:val="en-US" w:eastAsia="zh-CN"/>
        </w:rPr>
        <w:t>缺、</w:t>
      </w:r>
      <w:bookmarkStart w:id="0" w:name="_GoBack"/>
      <w:bookmarkEnd w:id="0"/>
      <w:r>
        <w:rPr>
          <w:rFonts w:ascii="Times New Roman" w:hAnsi="Times New Roman" w:hint="default"/>
          <w:b/>
          <w:bCs/>
          <w:color w:val="000000"/>
          <w:sz w:val="21"/>
          <w:szCs w:val="21"/>
        </w:rPr>
        <w:t>岗课赛思要素融合碎片化、线上线下教学模式协同联动机制</w:t>
      </w:r>
      <w:r>
        <w:rPr>
          <w:rFonts w:ascii="Times New Roman" w:hAnsi="Times New Roman"/>
          <w:b/>
          <w:bCs/>
          <w:color w:val="000000"/>
          <w:sz w:val="21"/>
          <w:szCs w:val="21"/>
        </w:rPr>
        <w:t>欠缺、学情数据应用维度单一、整体学习闭环贯通度不够、多元教学模式常态化落地机制尚未健全、课堂教学融合载体覆盖面窄、数字化、信息化教学手段赋能作用没有充分发挥出来、实操课堂缺少同步融合岗位、竞赛、思政的标准化实</w:t>
      </w:r>
      <w:r>
        <w:rPr>
          <w:rFonts w:ascii="Times New Roman" w:hAnsi="Times New Roman" w:hint="default"/>
          <w:b/>
          <w:bCs/>
          <w:color w:val="000000"/>
          <w:sz w:val="21"/>
          <w:szCs w:val="21"/>
        </w:rPr>
        <w:t>施流程、课程评价体系维度单一、过程素养</w:t>
      </w:r>
      <w:r>
        <w:rPr>
          <w:rFonts w:ascii="Times New Roman" w:hAnsi="Times New Roman" w:hint="default"/>
          <w:b/>
          <w:bCs/>
          <w:color w:val="000000"/>
          <w:sz w:val="21"/>
          <w:szCs w:val="21"/>
        </w:rPr>
        <w:t>评价模糊化、评价主体仅授课教师、素养指标缺少量化细则、线上线下全过程学习表现无法完整纳入综合评判。</w:t>
      </w:r>
    </w:p>
    <w:p w14:paraId="6A342249">
      <w:pPr>
        <w:pStyle w:val="Heading2"/>
        <w:widowControl/>
        <w:snapToGrid w:val="0"/>
        <w:spacing w:beforeAutospacing="0" w:afterAutospacing="0" w:line="360" w:lineRule="auto"/>
        <w:ind w:firstLine="420" w:firstLineChars="200"/>
        <w:jc w:val="both"/>
        <w:rPr>
          <w:rFonts w:ascii="Times New Roman" w:hAnsi="Times New Roman" w:hint="default"/>
          <w:color w:val="000000"/>
          <w:sz w:val="21"/>
          <w:szCs w:val="21"/>
        </w:rPr>
      </w:pPr>
      <w:r>
        <w:rPr>
          <w:rFonts w:ascii="Times New Roman" w:hAnsi="Times New Roman" w:hint="default"/>
          <w:color w:val="000000"/>
          <w:sz w:val="21"/>
          <w:szCs w:val="21"/>
        </w:rPr>
        <w:t>5对教学改革的启示</w:t>
      </w:r>
    </w:p>
    <w:p w14:paraId="0185373E">
      <w:pPr>
        <w:pStyle w:val="Heading3"/>
        <w:widowControl/>
        <w:snapToGrid w:val="0"/>
        <w:spacing w:beforeAutospacing="0" w:afterAutospacing="0" w:line="360" w:lineRule="auto"/>
        <w:ind w:firstLine="420" w:firstLineChars="200"/>
        <w:jc w:val="both"/>
        <w:rPr>
          <w:rFonts w:ascii="Times New Roman" w:hAnsi="Times New Roman" w:hint="default"/>
          <w:color w:val="000000"/>
          <w:sz w:val="21"/>
          <w:szCs w:val="21"/>
        </w:rPr>
      </w:pPr>
      <w:r>
        <w:rPr>
          <w:rFonts w:ascii="Times New Roman" w:hAnsi="Times New Roman" w:hint="default"/>
          <w:color w:val="000000"/>
          <w:sz w:val="21"/>
          <w:szCs w:val="21"/>
        </w:rPr>
        <w:t>5.1梯度重构分层教学内容，打通</w:t>
      </w:r>
      <w:r>
        <w:rPr>
          <w:rFonts w:ascii="Times New Roman" w:hAnsi="Times New Roman"/>
          <w:color w:val="000000"/>
          <w:sz w:val="21"/>
          <w:szCs w:val="21"/>
        </w:rPr>
        <w:t>“</w:t>
      </w:r>
      <w:r>
        <w:rPr>
          <w:rFonts w:ascii="Times New Roman" w:hAnsi="Times New Roman" w:hint="default"/>
          <w:color w:val="000000"/>
          <w:sz w:val="21"/>
          <w:szCs w:val="21"/>
        </w:rPr>
        <w:t>岗课赛思</w:t>
      </w:r>
      <w:r>
        <w:rPr>
          <w:rFonts w:ascii="Times New Roman" w:hAnsi="Times New Roman"/>
          <w:color w:val="000000"/>
          <w:sz w:val="21"/>
          <w:szCs w:val="21"/>
        </w:rPr>
        <w:t>”</w:t>
      </w:r>
      <w:r>
        <w:rPr>
          <w:rFonts w:ascii="Times New Roman" w:hAnsi="Times New Roman" w:hint="default"/>
          <w:color w:val="000000"/>
          <w:sz w:val="21"/>
          <w:szCs w:val="21"/>
        </w:rPr>
        <w:t>融合脉络</w:t>
      </w:r>
    </w:p>
    <w:p w14:paraId="1436BECD">
      <w:pPr>
        <w:pStyle w:val="Heading3"/>
        <w:widowControl/>
        <w:snapToGrid w:val="0"/>
        <w:spacing w:beforeAutospacing="0" w:afterAutospacing="0" w:line="360" w:lineRule="auto"/>
        <w:ind w:firstLine="420" w:firstLineChars="200"/>
        <w:jc w:val="both"/>
        <w:rPr>
          <w:rFonts w:ascii="Times New Roman" w:eastAsia="宋体" w:hAnsi="Times New Roman" w:cs="Times New Roman" w:hint="eastAsia"/>
          <w:b/>
          <w:bCs/>
          <w:color w:val="0000FF"/>
          <w:kern w:val="0"/>
          <w:sz w:val="21"/>
          <w:szCs w:val="21"/>
          <w:lang w:val="en-US" w:eastAsia="zh-CN" w:bidi="ar-SA"/>
        </w:rPr>
      </w:pPr>
      <w:r>
        <w:rPr>
          <w:rFonts w:ascii="Times New Roman" w:eastAsia="宋体" w:hAnsi="Times New Roman" w:cs="Times New Roman" w:hint="eastAsia"/>
          <w:b/>
          <w:bCs/>
          <w:color w:val="0000FF"/>
          <w:kern w:val="0"/>
          <w:sz w:val="21"/>
          <w:szCs w:val="21"/>
          <w:lang w:val="en-US" w:eastAsia="zh-CN" w:bidi="ar-SA"/>
        </w:rPr>
        <w:t>学生群体的学习基础和发展需求客观上存在着差异，依据六个班级综合成绩和线上任务完成数据来创建三层梯度教学内容，基础层为水泵分类、叶片泵构造等课标核心理论，用简化图文资料适应装备231、232等基础薄弱班级，同时加入基础泵站运维规范和节水思政案例。增加离心泵工况图解、管路布置实操，增加企业机组维修真实岗位案例，拓展层面向装备222、241等优质班级提供智能节水系统设计与安装竞赛真题，配套污水泵站环保改造综合项目，全过程贯穿严谨的设计和生态保护的思想</w:t>
      </w:r>
      <w:r>
        <w:rPr>
          <w:rFonts w:ascii="Times New Roman" w:eastAsia="宋体" w:hAnsi="Times New Roman" w:cs="Times New Roman" w:hint="eastAsia"/>
          <w:b/>
          <w:bCs/>
          <w:color w:val="0000FF"/>
          <w:kern w:val="0"/>
          <w:sz w:val="21"/>
          <w:szCs w:val="21"/>
          <w:vertAlign w:val="superscript"/>
          <w:lang w:val="en-US" w:eastAsia="zh-CN" w:bidi="ar-SA"/>
        </w:rPr>
        <w:t>[3]</w:t>
      </w:r>
      <w:r>
        <w:rPr>
          <w:rFonts w:ascii="Times New Roman" w:eastAsia="宋体" w:hAnsi="Times New Roman" w:cs="Times New Roman" w:hint="eastAsia"/>
          <w:b/>
          <w:bCs/>
          <w:color w:val="0000FF"/>
          <w:kern w:val="0"/>
          <w:sz w:val="21"/>
          <w:szCs w:val="21"/>
          <w:lang w:val="en-US" w:eastAsia="zh-CN" w:bidi="ar-SA"/>
        </w:rPr>
        <w:t>。内容编制阶段吸纳企业运维技师、竞赛指导教师共同参与，每一个项目都对应岗位标准、竞赛考点、思政目标，分散化的育人要素经由分层综合项目达成同步落地，全部梯度资源上传学习通供学生自主挑选，教师依照周度学情动态调整班级教学重点，契合不同学生技能提升、竞赛拓展、素养培育的多样化需求。</w:t>
      </w:r>
    </w:p>
    <w:p w14:paraId="3D0501D8"/>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A06C66"/>
    <w:rsid w:val="1FA06C66"/>
    <w:rsid w:val="24A67303"/>
    <w:rsid w:val="73E0592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Heading3">
    <w:name w:val="heading 3"/>
    <w:basedOn w:val="Normal"/>
    <w:next w:val="Normal"/>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2026-08-07T08:22:00Z</dcterms:created>
  <dcterms:modified xsi:type="dcterms:W3CDTF">2026-08-07T08:37:06Z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74BEC81ACDF74632B2C8F8E1CD59F2E3_11</vt:lpwstr>
  </property>
  <property fmtid="{D5CDD505-2E9C-101B-9397-08002B2CF9AE}" pid="3" name="KSOProductBuildVer">
    <vt:lpwstr>2052-12.1.0.28043</vt:lpwstr>
  </property>
  <property fmtid="{D5CDD505-2E9C-101B-9397-08002B2CF9AE}" pid="4" name="KSOTemplateDocerSaveRecord">
    <vt:lpwstr>eyJoZGlkIjoiYTk3YmY3NWQ0YmNmZGVmMTdjYzMzOTgyZjgzMDQwZTkiLCJ1c2VySWQiOiIyNDYyMTY4NzMifQ==</vt:lpwstr>
  </property>
</Properties>
</file>